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C61" w:rsidRDefault="007D7C61" w:rsidP="007D7C61">
      <w:pPr>
        <w:rPr>
          <w:rFonts w:hint="eastAsia"/>
        </w:rPr>
      </w:pPr>
      <w:r>
        <w:t xml:space="preserve">период ухода за ребенком включается в страховой стаж. </w:t>
      </w:r>
    </w:p>
    <w:p w:rsidR="007D7C61" w:rsidRDefault="007D7C61" w:rsidP="007D7C6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165735</wp:posOffset>
            </wp:positionV>
            <wp:extent cx="1826895" cy="1826895"/>
            <wp:effectExtent l="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7C61" w:rsidRDefault="007D7C61" w:rsidP="007D7C6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741170" cy="1741170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7D7C61" w:rsidRDefault="007D7C61" w:rsidP="007D7C61">
      <w:pPr>
        <w:rPr>
          <w:rFonts w:hint="eastAsia"/>
        </w:rPr>
      </w:pPr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D7C61"/>
    <w:rsid w:val="00601167"/>
    <w:rsid w:val="007D7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C6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2019-05-24T12:57:00Z</dcterms:created>
  <dcterms:modified xsi:type="dcterms:W3CDTF">2019-05-24T12:57:00Z</dcterms:modified>
</cp:coreProperties>
</file>