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1149_1353194552"/>
      <w:r>
        <w:rPr/>
        <w:t>Проверить состояние индивидуального лицевого счета</w:t>
      </w:r>
      <w:bookmarkEnd w:id="0"/>
      <w:r>
        <w:rPr/>
        <w:t xml:space="preserve"> (ИЛС) и заказать выписку из ИЛС можно в Личном кабинете на сайте ПФР: 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#ИЛС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-57785</wp:posOffset>
            </wp:positionH>
            <wp:positionV relativeFrom="paragraph">
              <wp:posOffset>114300</wp:posOffset>
            </wp:positionV>
            <wp:extent cx="2359025" cy="235902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2686050</wp:posOffset>
            </wp:positionH>
            <wp:positionV relativeFrom="paragraph">
              <wp:posOffset>36195</wp:posOffset>
            </wp:positionV>
            <wp:extent cx="2462530" cy="2462530"/>
            <wp:effectExtent l="0" t="0" r="0" b="0"/>
            <wp:wrapSquare wrapText="largest"/>
            <wp:docPr id="2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507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48;&#1051;&#1057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2019-02-04T13:58:46Z</dcterms:created>
  <dc:language>ru-RU</dc:language>
  <cp:lastPrinted>2019-02-04T13:59:47Z</cp:lastPrinted>
  <dcterms:modified xsi:type="dcterms:W3CDTF">2019-02-04T13:59:58Z</dcterms:modified>
  <cp:revision>2</cp:revision>
</cp:coreProperties>
</file>