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59_59964619"/>
      <w:r>
        <w:rPr/>
        <w:t>Какие законы вступают сегодня</w:t>
      </w:r>
      <w:bookmarkEnd w:id="0"/>
      <w:r>
        <w:rPr/>
        <w:t>?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11 ноября в России начинают действовать несколько новых законов. Так, сокращается срок принятия решения о выдаче маткапитала, вводится запрет на рекламу услуг по написанию дипломов и устанавливается ответственность за злоупотребление правом на митинги. </w:t>
        <w:br/>
      </w:r>
    </w:p>
    <w:p>
      <w:pPr>
        <w:pStyle w:val="Normal"/>
        <w:rPr/>
      </w:pPr>
      <w:r>
        <w:rPr/>
        <w:t>- Маткапитал</w:t>
        <w:br/>
        <w:t xml:space="preserve">Закон сокращает срок принятия решения о выдаче сертификата на материнский (семейный) капитал с одного месяца до 15 дней. </w:t>
        <w:br/>
        <w:br/>
        <w:t>"Это особенно важно для нуждающихся семей и для родителей, которые воспитывают детей-инвалидов. Теперь такие семьи смогут быстрее оформить получение ежемесячной выплаты, начать реабилитацию ребенка с ограниченными возможностями или внести деньги на приобретение жилья", - отметил ранее Председатель ГД Вячеслав Володин.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-Дипломные работы</w:t>
        <w:br/>
        <w:br/>
        <w:t xml:space="preserve">Запрещается размещать рекламу услуг по подготовке и написанию выпускных квалификационных работ, научных докладов об основных результатах подготовленных научно-квалификационных работ, диссертаций и других работ, предусмотренных государственной системой научной аттестации или необходимых для прохождения промежуточной или итоговой аттестации обучающихся.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Митинги</w:t>
        <w:br/>
        <w:br/>
        <w:t xml:space="preserve">Закон расширяет перечень обязанностей организатора публичного мероприятия. Так, в случае отказа от его проведения организатор должен не позднее чем за один день до назначенного дня информировать об этом граждан и орган власти, куда подавалась заявка. Невыполнение таких обязанностей влечет наложение административного штрафа на граждан в размере от 5 тыс. до 20 тыс. рублей; на должностных лиц - от 10 тыс. до 30 тыс. рублей; на юридических лиц - от 20 тыс. до 100 тыс. рублей.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2018-12-05T11:41:30Z</dcterms:created>
  <dc:language>ru-RU</dc:language>
  <dcterms:modified xsi:type="dcterms:W3CDTF">2018-12-05T11:41:52Z</dcterms:modified>
  <cp:revision>1</cp:revision>
</cp:coreProperties>
</file>