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15_59964619"/>
      <w:r>
        <w:rPr/>
        <w:t>Куда подает заявление правоприемник  пенсионных накоплений</w:t>
      </w:r>
      <w:bookmarkEnd w:id="0"/>
      <w:r>
        <w:rPr/>
        <w:t>?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Гражданин имеет право заранее определять правопреемников средств своих пенсионных накоплений и то, в каких долях они будут распределены между ними.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203835</wp:posOffset>
            </wp:positionH>
            <wp:positionV relativeFrom="paragraph">
              <wp:posOffset>0</wp:posOffset>
            </wp:positionV>
            <wp:extent cx="3528060" cy="3528060"/>
            <wp:effectExtent l="0" t="0" r="0" b="0"/>
            <wp:wrapSquare wrapText="largest"/>
            <wp:docPr id="1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3528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2018-12-05T11:25:49Z</dcterms:created>
  <dc:language>ru-RU</dc:language>
  <dcterms:modified xsi:type="dcterms:W3CDTF">2018-12-05T11:28:02Z</dcterms:modified>
  <cp:revision>1</cp:revision>
</cp:coreProperties>
</file>