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96_59964619"/>
      <w:bookmarkEnd w:id="0"/>
      <w:r>
        <w:rPr/>
        <w:t>Доплата инвалиду за иждивенца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В каких случаях получателям пенсии по инвалидности положена доплата за иждивенца, читайте в нашем сегодняшнем посте. </w:t>
        <w:br/>
        <w:br/>
      </w:r>
      <w:hyperlink r:id="rId2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#пенсияпоинвалидности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1457325" cy="14573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7;&#1077;&#1085;&#1089;&#1080;&#1103;&#1087;&#1086;&#1080;&#1085;&#1074;&#1072;&#1083;&#1080;&#1076;&#1085;&#1086;&#1089;&#1090;&#108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2018-12-05T11:19:32Z</dcterms:created>
  <dc:language>ru-RU</dc:language>
  <dcterms:modified xsi:type="dcterms:W3CDTF">2018-12-05T11:22:09Z</dcterms:modified>
  <cp:revision>1</cp:revision>
</cp:coreProperties>
</file>