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039_59964619"/>
      <w:r>
        <w:rPr/>
        <w:t>Как по новому пенсионному закону, будут выходить на пенсию "северяне"</w:t>
      </w:r>
      <w:bookmarkEnd w:id="0"/>
      <w:r>
        <w:rPr/>
        <w:t xml:space="preserve">? </w:t>
        <w:br/>
        <w:t>Для работников, которые выходят на пенсию досрочно в связи с работой в районах Крайнего Севера и в местностях, приравненных к районам Крайнего Севера требования к специальному стажу не изменились, но возраст выхода на пенсию будет постепенно повышаться на 5 лет, исходя из общего увеличения трудоспособного возраста.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-210820</wp:posOffset>
            </wp:positionH>
            <wp:positionV relativeFrom="paragraph">
              <wp:posOffset>108585</wp:posOffset>
            </wp:positionV>
            <wp:extent cx="4103370" cy="3287395"/>
            <wp:effectExtent l="0" t="0" r="0" b="0"/>
            <wp:wrapSquare wrapText="largest"/>
            <wp:docPr id="1" name="Изображение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6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3370" cy="3287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*****  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2018-12-05T12:25:15Z</dcterms:created>
  <dc:language>ru-RU</dc:language>
  <dcterms:modified xsi:type="dcterms:W3CDTF">2018-12-05T12:25:50Z</dcterms:modified>
  <cp:revision>1</cp:revision>
</cp:coreProperties>
</file>