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мы ответим на вопрос о назначении пенсии. Подробнее </w:t>
      </w:r>
      <w:bookmarkStart w:id="0" w:name="__DdeLink__1017_59964619"/>
      <w:r>
        <w:rPr/>
        <w:t>о видах пенсии и условиях их оформления можно узнать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http://www.pfrf.ru/grazdanam/pensions/vidy_pens/</w:t>
        </w:r>
      </w:hyperlink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#пенсиябезпрописки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191135</wp:posOffset>
            </wp:positionH>
            <wp:positionV relativeFrom="paragraph">
              <wp:posOffset>38100</wp:posOffset>
            </wp:positionV>
            <wp:extent cx="1985645" cy="198564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2483485</wp:posOffset>
            </wp:positionH>
            <wp:positionV relativeFrom="paragraph">
              <wp:posOffset>76200</wp:posOffset>
            </wp:positionV>
            <wp:extent cx="1946910" cy="194691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4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s%2Fvidy_pens%2F&amp;post=-86141808_231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7;&#1077;&#1085;&#1089;&#1080;&#1103;&#1073;&#1077;&#1079;&#1087;&#1088;&#1086;&#1087;&#1080;&#1089;&#1082;&#1080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2018-12-05T12:09:12Z</dcterms:created>
  <dc:language>ru-RU</dc:language>
  <dcterms:modified xsi:type="dcterms:W3CDTF">2018-12-05T12:09:37Z</dcterms:modified>
  <cp:revision>1</cp:revision>
</cp:coreProperties>
</file>