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58_2081218575"/>
      <w:r>
        <w:rPr/>
        <w:t>Гражданин имеет право заранее определять правопреемников</w:t>
      </w:r>
      <w:bookmarkEnd w:id="0"/>
      <w:r>
        <w:rPr/>
        <w:t xml:space="preserve"> средств своих пенсионных накоплений и то, в каких долях они будут распределены между ними.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#пенсионныенакопления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128270</wp:posOffset>
            </wp:positionH>
            <wp:positionV relativeFrom="paragraph">
              <wp:posOffset>0</wp:posOffset>
            </wp:positionV>
            <wp:extent cx="2587625" cy="258762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625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87;&#1077;&#1085;&#1089;&#1080;&#1086;&#1085;&#1085;&#1099;&#1077;&#1085;&#1072;&#1082;&#1086;&#1087;&#1083;&#1077;&#1085;&#1080;&#1103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2018-11-07T21:08:33Z</dcterms:created>
  <dc:language>ru-RU</dc:language>
  <dcterms:modified xsi:type="dcterms:W3CDTF">2018-11-07T21:08:54Z</dcterms:modified>
  <cp:revision>1</cp:revision>
</cp:coreProperties>
</file>