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3_1639904"/>
      <w:r>
        <w:rPr/>
        <w:t xml:space="preserve">ПФР продолжает расширять список электронных услуг. </w:t>
      </w:r>
      <w:bookmarkEnd w:id="0"/>
      <w:r>
        <w:rPr/>
        <w:br/>
      </w:r>
    </w:p>
    <w:p>
      <w:pPr>
        <w:pStyle w:val="Normal"/>
        <w:rPr/>
      </w:pPr>
      <w:r>
        <w:rP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5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6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-88265</wp:posOffset>
            </wp:positionH>
            <wp:positionV relativeFrom="paragraph">
              <wp:posOffset>34290</wp:posOffset>
            </wp:positionV>
            <wp:extent cx="1733550" cy="173355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94;&#1080;&#1092;&#1088;&#1086;&#1074;&#1086;&#1081;" TargetMode="External"/><Relationship Id="rId5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6" Type="http://schemas.openxmlformats.org/officeDocument/2006/relationships/hyperlink" Target="https://vk.com/feed?section=search&amp;q=%23&#1091;&#1089;&#1083;&#1091;&#1075;&#1080;&#1055;&#1060;&#1056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2018-11-07T20:11:17Z</dcterms:created>
  <dc:language>ru-RU</dc:language>
  <dcterms:modified xsi:type="dcterms:W3CDTF">2018-11-07T20:11:59Z</dcterms:modified>
  <cp:revision>1</cp:revision>
</cp:coreProperties>
</file>