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8_1639904"/>
      <w:r>
        <w:rPr/>
        <w:t>Повышение пенсионного возраста начнет действовать с 1 января 2019 года</w:t>
      </w:r>
      <w:bookmarkEnd w:id="0"/>
      <w:r>
        <w:rPr/>
        <w:t xml:space="preserve">. Повышение будет плавным: предусматривается длительный переходный период – с 2019 по 2028 год. Всего переходный период продлится 10 лет.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-12065</wp:posOffset>
            </wp:positionH>
            <wp:positionV relativeFrom="paragraph">
              <wp:posOffset>78105</wp:posOffset>
            </wp:positionV>
            <wp:extent cx="1898650" cy="189865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2018-11-07T20:12:30Z</dcterms:created>
  <dc:language>ru-RU</dc:language>
  <dcterms:modified xsi:type="dcterms:W3CDTF">2018-11-07T20:12:45Z</dcterms:modified>
  <cp:revision>1</cp:revision>
</cp:coreProperties>
</file>