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04_1639904"/>
      <w:bookmarkEnd w:id="0"/>
      <w:r>
        <w:rPr>
          <w:sz w:val="22"/>
          <w:szCs w:val="22"/>
        </w:rPr>
        <w:t>Выплата средств пенсионных накоплений</w:t>
      </w:r>
    </w:p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/>
      </w:pPr>
      <w:r>
        <w:rPr>
          <w:sz w:val="22"/>
          <w:szCs w:val="22"/>
        </w:rPr>
        <w:t>Если вы формируете пенсионные накопления, то при выходе на пенсию можете обратиться за их выплатой. Подробности в лифлете ПФР.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-71755</wp:posOffset>
            </wp:positionH>
            <wp:positionV relativeFrom="paragraph">
              <wp:posOffset>114300</wp:posOffset>
            </wp:positionV>
            <wp:extent cx="2672715" cy="197104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2707005</wp:posOffset>
            </wp:positionH>
            <wp:positionV relativeFrom="paragraph">
              <wp:posOffset>113030</wp:posOffset>
            </wp:positionV>
            <wp:extent cx="2726055" cy="2010410"/>
            <wp:effectExtent l="0" t="0" r="0" b="0"/>
            <wp:wrapSquare wrapText="largest"/>
            <wp:docPr id="2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2010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2018-11-07T20:35:10Z</dcterms:created>
  <dc:language>ru-RU</dc:language>
  <dcterms:modified xsi:type="dcterms:W3CDTF">2018-11-07T20:35:51Z</dcterms:modified>
  <cp:revision>1</cp:revision>
</cp:coreProperties>
</file>