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Пенсии и социальные выплаты получают не только граждане пенсионного возраста, но и дети. Сегодня рассказываем, </w:t>
      </w:r>
      <w:bookmarkStart w:id="0" w:name="__DdeLink__459_427802965"/>
      <w:r>
        <w:rPr/>
        <w:t>как осуществляется доставка пенсии гражданам до 18 лет.</w:t>
      </w:r>
      <w:bookmarkEnd w:id="0"/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-92710</wp:posOffset>
            </wp:positionH>
            <wp:positionV relativeFrom="paragraph">
              <wp:posOffset>160020</wp:posOffset>
            </wp:positionV>
            <wp:extent cx="1962785" cy="196278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962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2374265</wp:posOffset>
            </wp:positionH>
            <wp:positionV relativeFrom="paragraph">
              <wp:posOffset>112395</wp:posOffset>
            </wp:positionV>
            <wp:extent cx="2010410" cy="201041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410" cy="201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2018-11-07T17:54:03Z</dcterms:created>
  <dc:language>ru-RU</dc:language>
  <dcterms:modified xsi:type="dcterms:W3CDTF">2018-11-07T17:54:22Z</dcterms:modified>
  <cp:revision>1</cp:revision>
</cp:coreProperties>
</file>