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Напоминаем, что </w:t>
      </w:r>
      <w:bookmarkStart w:id="0" w:name="__DdeLink__0_567313908"/>
      <w:r>
        <w:rPr/>
        <w:t>средствами материнского капитала можно оплатить</w:t>
      </w:r>
      <w:bookmarkEnd w:id="0"/>
      <w:r>
        <w:rPr/>
        <w:t>:</w:t>
        <w:br/>
        <w:t xml:space="preserve"> -платные образовательные услуги по образовательным программам;</w:t>
        <w:br/>
        <w:t xml:space="preserve"> -содержание ребенка и (или) присмотр и уход за ребенком в организации;</w:t>
        <w:br/>
        <w:t>- пользование жилым помещением и коммунальными услугами в общежитии, предоставляемом организацией на период обучения.</w:t>
        <w:br/>
        <w:br/>
        <w:t xml:space="preserve"> Подробная информация по данному вопросу содержится на сайте ПФР: </w:t>
      </w:r>
      <w:hyperlink r:id="rId2" w:tgtFrame="_blank">
        <w:r>
          <w:rPr>
            <w:rStyle w:val="Style11"/>
          </w:rPr>
          <w:t>http://www.pfrf.ru/knopki/zhizn/~435</w:t>
        </w:r>
      </w:hyperlink>
      <w:r>
        <w:rPr/>
        <w:t xml:space="preserve">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35&amp;post=-86141808_2144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2018-10-09T14:27:10Z</dcterms:created>
  <dc:language>ru-RU</dc:language>
  <dcterms:modified xsi:type="dcterms:W3CDTF">2018-10-09T14:32:28Z</dcterms:modified>
  <cp:revision>1</cp:revision>
</cp:coreProperties>
</file>