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Не дожидаясь трехлетия ребенка, </w:t>
      </w:r>
      <w:bookmarkStart w:id="0" w:name="__DdeLink__868_29055943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материнский капитал можно направить на дошкольное образование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  <w:br/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  <w:br/>
        <w:br/>
        <w:t>В случае,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  <w:br/>
        <w:br/>
        <w:t>Напомним, что размер материнского капитала в 2018 году не изменится и составит 453 тыс. Рублей.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2018-10-09T13:28:09Z</dcterms:created>
  <dc:language>ru-RU</dc:language>
  <dcterms:modified xsi:type="dcterms:W3CDTF">2018-10-09T13:29:28Z</dcterms:modified>
  <cp:revision>1</cp:revision>
</cp:coreProperties>
</file>