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0_611321013"/>
      <w:r>
        <w:rPr/>
        <w:t>Насколько увеличится пенсионный возраст у мужчин и женщин по новому законопроекту о пенсионном обеспечении</w:t>
      </w:r>
      <w:bookmarkEnd w:id="0"/>
      <w:r>
        <w:rPr/>
        <w:t xml:space="preserve">? Переход будет плавным и продлится 10 лет: с 2019 года по 2028 год.Подробная и актуальная информация о проекте закона на сайте ПФР </w:t>
      </w:r>
      <w:hyperlink r:id="rId2" w:tgtFrame="_blank">
        <w:r>
          <w:rPr>
            <w:rStyle w:val="Style11"/>
          </w:rPr>
          <w:t>http://www.pfrf.ru/zakonoproekt</w:t>
        </w:r>
      </w:hyperlink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550926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5509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zakonoproekt&amp;post=-86141808_2142&amp;cc_key=" TargetMode="External"/><Relationship Id="rId3" Type="http://schemas.openxmlformats.org/officeDocument/2006/relationships/image" Target="media/image1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2018-10-09T14:25:12Z</dcterms:created>
  <dc:language>ru-RU</dc:language>
  <cp:lastPrinted>2018-10-09T14:25:27Z</cp:lastPrinted>
  <dcterms:modified xsi:type="dcterms:W3CDTF">2018-10-09T14:26:00Z</dcterms:modified>
  <cp:revision>1</cp:revision>
</cp:coreProperties>
</file>