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348"/>
        <w:rPr>
          <w:rFonts w:ascii="apple-system;BlinkMacSystemFont;serif" w:hAnsi="apple-system;BlinkMacSystemFont;serif"/>
          <w:color w:val="000000"/>
          <w:sz w:val="20"/>
        </w:rPr>
      </w:pPr>
      <w:r>
        <w:rPr>
          <w:rFonts w:ascii="apple-system;BlinkMacSystemFont;serif" w:hAnsi="apple-system;BlinkMacSystemFont;serif"/>
          <w:color w:val="000000"/>
          <w:sz w:val="20"/>
        </w:rPr>
        <w:t>Могу ли я за счет материнского (семейного) капитала оплачивать содержание ребенка в частном детском саду?</w:t>
        <w:br/>
        <w:br/>
        <w:t>Да, Вы можете использовать средства материнского (семейного) капитала на получение образования ребенком в любой организации на территории Российской Федерации, имеющей право на оказание соответствующих образовательных услуг, включая содержание ребенка в детском саду (любой организации, реализующей образовательные программы дошкольного образования или основные образовательные программы начального общего, основного общего и среднего (полного) общего образования). С 2018 года семьи могут направлять средства практически сразу после рождения ребенка. Оплатить материнским (семейным) капиталом можно детский сад и ясли, в том числе частные, а также оплатить услуги по уходу и присмотру за ребенком. Обязательное условие: наличие лицензии на предоставление соответствующих услуг.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2018-10-09T12:22:17Z</dcterms:created>
  <dc:language>ru-RU</dc:language>
  <cp:lastPrinted>2018-10-09T12:22:34Z</cp:lastPrinted>
  <dcterms:modified xsi:type="dcterms:W3CDTF">2018-10-09T12:22:58Z</dcterms:modified>
  <cp:revision>1</cp:revision>
</cp:coreProperties>
</file>