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rPr/>
      </w:pPr>
      <w:bookmarkStart w:id="0" w:name="__DdeLink__458_1373544301"/>
      <w:bookmarkEnd w:id="0"/>
      <w:r>
        <w:rPr/>
        <w:t xml:space="preserve">Какие нестраховые периоды имеют значение при расчете пенсии </w:t>
      </w:r>
    </w:p>
    <w:p>
      <w:pPr>
        <w:pStyle w:val="Style12"/>
        <w:spacing w:before="0" w:after="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42545</wp:posOffset>
            </wp:positionH>
            <wp:positionV relativeFrom="paragraph">
              <wp:posOffset>222885</wp:posOffset>
            </wp:positionV>
            <wp:extent cx="3901440" cy="267271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144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2018-09-11T13:24:02Z</dcterms:created>
  <dc:language>ru-RU</dc:language>
  <dcterms:modified xsi:type="dcterms:W3CDTF">2018-09-11T13:24:14Z</dcterms:modified>
  <cp:revision>1</cp:revision>
</cp:coreProperties>
</file>