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bookmarkStart w:id="0" w:name="__DdeLink__465_1373544301"/>
      <w:r>
        <w:rPr/>
        <w:t xml:space="preserve">По умолчанию набор социальных услуг предоставляется в натуральной форме </w:t>
      </w:r>
      <w:bookmarkEnd w:id="0"/>
      <w:r>
        <w:rPr/>
        <w:t xml:space="preserve">(за исключением граждан, подвергшихся воздействию радиации). Чтобы получать весь набор или его часть деньгами, необходимо до 1 октября подать соответствующее заявление в Пенсионный фонд России. Сделать это можно в личном кабинете на сайте ПФР, в клиентской службе ПФР или в многофункциональном центре госуслуг. Если ранее заявление об отказе от получения социальных услуг в натуральной форме уже подавалось, новое заявление не требуется – набор будет выплачиваться деньгами до тех пор, пока человек не изменит свое решение.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2018-09-11T13:25:18Z</dcterms:created>
  <dc:language>ru-RU</dc:language>
  <dcterms:modified xsi:type="dcterms:W3CDTF">2018-09-11T13:25:33Z</dcterms:modified>
  <cp:revision>1</cp:revision>
</cp:coreProperties>
</file>