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70_1373544301"/>
      <w:r>
        <w:rPr/>
        <w:t xml:space="preserve">Не дожидаясь трехлетия ребенка, материнский капитал можно направить на дошкольное образование </w:t>
      </w:r>
      <w:bookmarkEnd w:id="0"/>
      <w:r>
        <w:rPr/>
        <w:br/>
        <w:br/>
        <w:t>В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 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  <w:br/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  <w:br/>
        <w:br/>
        <w:t>В случае,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  <w:br/>
        <w:br/>
        <w:t xml:space="preserve">Напомним, что размер материнского капитала в 2018 году не изменится и составит 453 тыс. Рублей. </w:t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2018-09-11T13:26:30Z</dcterms:created>
  <dc:language>ru-RU</dc:language>
  <dcterms:modified xsi:type="dcterms:W3CDTF">2018-09-11T13:26:43Z</dcterms:modified>
  <cp:revision>1</cp:revision>
</cp:coreProperties>
</file>