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rPr/>
      </w:pPr>
      <w:bookmarkStart w:id="0" w:name="__DdeLink__446_1373544301"/>
      <w:r>
        <w:rPr/>
        <w:t>Если вы формируете пенсионные накопления, то при выходе на пенсию можете обратиться за их выплатой</w:t>
      </w:r>
      <w:bookmarkEnd w:id="0"/>
      <w:r>
        <w:rPr/>
        <w:t xml:space="preserve">. Подробности в лифлете ПФР. </w:t>
      </w:r>
    </w:p>
    <w:p>
      <w:pPr>
        <w:pStyle w:val="Style12"/>
        <w:spacing w:before="0" w:after="0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-14605</wp:posOffset>
            </wp:positionH>
            <wp:positionV relativeFrom="paragraph">
              <wp:posOffset>165100</wp:posOffset>
            </wp:positionV>
            <wp:extent cx="3901440" cy="287718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br/>
      </w:r>
      <w:r>
        <w:rPr/>
        <w:b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13970</wp:posOffset>
            </wp:positionH>
            <wp:positionV relativeFrom="paragraph">
              <wp:posOffset>146685</wp:posOffset>
            </wp:positionV>
            <wp:extent cx="3901440" cy="2877185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2018-09-11T13:17:43Z</dcterms:created>
  <dc:language>ru-RU</dc:language>
  <dcterms:modified xsi:type="dcterms:W3CDTF">2018-09-11T13:18:04Z</dcterms:modified>
  <cp:revision>1</cp:revision>
</cp:coreProperties>
</file>