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Как будет индексироваться пенсия у работающих пенсионеров после того, как они прекратят трудовую деятельность? Подробности в лифлете Пенсионного фонда.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-119380</wp:posOffset>
            </wp:positionH>
            <wp:positionV relativeFrom="paragraph">
              <wp:posOffset>114300</wp:posOffset>
            </wp:positionV>
            <wp:extent cx="3336925" cy="2460625"/>
            <wp:effectExtent l="0" t="0" r="0" b="0"/>
            <wp:wrapSquare wrapText="largest"/>
            <wp:docPr id="1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925" cy="2460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-233680</wp:posOffset>
            </wp:positionH>
            <wp:positionV relativeFrom="paragraph">
              <wp:posOffset>15875</wp:posOffset>
            </wp:positionV>
            <wp:extent cx="3365500" cy="2482215"/>
            <wp:effectExtent l="0" t="0" r="0" b="0"/>
            <wp:wrapSquare wrapText="largest"/>
            <wp:docPr id="2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00" cy="2482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2018-09-18T09:42:02Z</dcterms:created>
  <dc:language>ru-RU</dc:language>
  <dcterms:modified xsi:type="dcterms:W3CDTF">2018-09-18T09:42:36Z</dcterms:modified>
  <cp:revision>1</cp:revision>
</cp:coreProperties>
</file>