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bookmarkStart w:id="0" w:name="__DdeLink__429_1373544301"/>
      <w:r>
        <w:rPr/>
        <w:t>Об оплате образовательных услуг средствами материнского капитала</w:t>
      </w:r>
      <w:bookmarkEnd w:id="0"/>
      <w:r>
        <w:rPr/>
        <w:br/>
        <w:br/>
        <w:t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  <w:br/>
        <w:br/>
        <w:t>Теперь при выплате средств МСК является не обязательным наличие государственной аккредитации специальности,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  <w:br/>
        <w:br/>
        <w:t>Кроме того, в случае направления материнского капитала на оплату программ дошкольного образования или оплату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2018-09-11T13:15:00Z</dcterms:created>
  <dc:language>ru-RU</dc:language>
  <dcterms:modified xsi:type="dcterms:W3CDTF">2018-09-11T13:15:12Z</dcterms:modified>
  <cp:revision>1</cp:revision>
</cp:coreProperties>
</file>