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381_1771341021"/>
      <w:r>
        <w:rPr/>
        <w:t>Как будет индексироваться пенсия у работающих пенсионеров</w:t>
      </w:r>
      <w:bookmarkEnd w:id="0"/>
      <w:r>
        <w:rPr/>
        <w:t xml:space="preserve"> после того, как они прекратят трудовую деятельность? Подробности в лифлете Пенсионного фонда.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2596515</wp:posOffset>
            </wp:positionH>
            <wp:positionV relativeFrom="paragraph">
              <wp:posOffset>48895</wp:posOffset>
            </wp:positionV>
            <wp:extent cx="2172335" cy="1602105"/>
            <wp:effectExtent l="0" t="0" r="0" b="0"/>
            <wp:wrapSquare wrapText="largest"/>
            <wp:docPr id="1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335" cy="1602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-180340</wp:posOffset>
            </wp:positionH>
            <wp:positionV relativeFrom="paragraph">
              <wp:posOffset>19685</wp:posOffset>
            </wp:positionV>
            <wp:extent cx="1795780" cy="1324610"/>
            <wp:effectExtent l="0" t="0" r="0" b="0"/>
            <wp:wrapSquare wrapText="largest"/>
            <wp:docPr id="2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780" cy="1324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2018-09-11T13:30:27Z</dcterms:created>
  <dc:language>ru-RU</dc:language>
  <dcterms:modified xsi:type="dcterms:W3CDTF">2018-09-11T13:30:57Z</dcterms:modified>
  <cp:revision>1</cp:revision>
</cp:coreProperties>
</file>