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t>К</w:t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-83820</wp:posOffset>
            </wp:positionH>
            <wp:positionV relativeFrom="paragraph">
              <wp:posOffset>454025</wp:posOffset>
            </wp:positionV>
            <wp:extent cx="2606675" cy="3689985"/>
            <wp:effectExtent l="0" t="0" r="0" b="0"/>
            <wp:wrapSquare wrapText="largest"/>
            <wp:docPr id="1" name="Изображение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6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6675" cy="36899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posOffset>3116580</wp:posOffset>
            </wp:positionH>
            <wp:positionV relativeFrom="paragraph">
              <wp:posOffset>525780</wp:posOffset>
            </wp:positionV>
            <wp:extent cx="2672715" cy="3783330"/>
            <wp:effectExtent l="0" t="0" r="0" b="0"/>
            <wp:wrapSquare wrapText="largest"/>
            <wp:docPr id="2" name="Изображение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7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2715" cy="37833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то сохранит право досрочного выхода на пенсию?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2018-08-01T14:30:18Z</dcterms:created>
  <dc:language>ru-RU</dc:language>
  <cp:lastPrinted>2018-08-01T14:31:21Z</cp:lastPrinted>
  <dcterms:modified xsi:type="dcterms:W3CDTF">2018-08-01T14:31:24Z</dcterms:modified>
  <cp:revision>2</cp:revision>
</cp:coreProperties>
</file>