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2"/>
        </w:numPr>
        <w:spacing w:before="140" w:after="120"/>
        <w:jc w:val="left"/>
        <w:rPr/>
      </w:pPr>
      <w:bookmarkStart w:id="0" w:name="__DdeLink__616_1794049328"/>
      <w:r>
        <w:rPr>
          <w:b w:val="false"/>
          <w:bCs w:val="false"/>
          <w:sz w:val="24"/>
          <w:szCs w:val="24"/>
        </w:rPr>
        <w:t>Пенсионные баллы, из которых формируется страховая пенсия, даются не только за стаж и заработную плату</w:t>
      </w:r>
      <w:bookmarkEnd w:id="0"/>
      <w:r>
        <w:rPr>
          <w:b w:val="false"/>
          <w:bCs w:val="false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23495</wp:posOffset>
            </wp:positionH>
            <wp:positionV relativeFrom="paragraph">
              <wp:posOffset>1495425</wp:posOffset>
            </wp:positionV>
            <wp:extent cx="3901440" cy="267271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sz w:val="24"/>
          <w:szCs w:val="24"/>
        </w:rPr>
        <w:t xml:space="preserve">. Давайте посмотрим, за какие социально-значимые периоды также можно получить пенсионные коэффициенты.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2018-08-01T16:07:24Z</dcterms:created>
  <dc:language>ru-RU</dc:language>
  <dcterms:modified xsi:type="dcterms:W3CDTF">2018-08-01T16:08:13Z</dcterms:modified>
  <cp:revision>1</cp:revision>
</cp:coreProperties>
</file>