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numPr>
          <w:ilvl w:val="0"/>
          <w:numId w:val="1"/>
        </w:numPr>
        <w:spacing w:before="240" w:after="120"/>
        <w:jc w:val="center"/>
        <w:rPr/>
      </w:pPr>
      <w:bookmarkStart w:id="0" w:name="__DdeLink__303_1934729976"/>
      <w:r>
        <w:rPr>
          <w:rStyle w:val="Style12"/>
          <w:lang w:val="ru-RU"/>
        </w:rPr>
        <w:t>Что нового предусматривает законопроект о пенсиях для «досрочников</w:t>
      </w:r>
      <w:bookmarkEnd w:id="0"/>
      <w:r>
        <w:rPr>
          <w:rStyle w:val="Style12"/>
          <w:lang w:val="ru-RU"/>
        </w:rPr>
        <w:t>»</w:t>
      </w:r>
    </w:p>
    <w:p>
      <w:pPr>
        <w:sectPr>
          <w:type w:val="nextPage"/>
          <w:pgSz w:w="11906" w:h="16838"/>
          <w:pgMar w:left="1134" w:right="1134" w:header="0" w:top="1134" w:footer="0" w:bottom="1134" w:gutter="0"/>
          <w:pgNumType w:fmt="decimal"/>
          <w:formProt w:val="false"/>
          <w:textDirection w:val="lrTb"/>
          <w:docGrid w:type="default" w:linePitch="240" w:charSpace="4294961151"/>
        </w:sectPr>
      </w:pPr>
    </w:p>
    <w:p>
      <w:pPr>
        <w:pStyle w:val="3"/>
        <w:numPr>
          <w:ilvl w:val="2"/>
          <w:numId w:val="1"/>
        </w:numPr>
        <w:rPr/>
      </w:pPr>
      <w:hyperlink r:id="rId2">
        <w:r>
          <w:rPr>
            <w:rStyle w:val="Style12"/>
          </w:rPr>
          <w:t>Сохраняется ли специальный стаж, дающий право на досрочную пенсию?</w:t>
        </w:r>
      </w:hyperlink>
    </w:p>
    <w:p>
      <w:pPr>
        <w:pStyle w:val="Style16"/>
        <w:rPr/>
      </w:pPr>
      <w:r>
        <w:rPr/>
        <w:t>Специальный стаж, дающий право на досрочную пенсию, не меняется для граждан, работающих на Крайнем Севере и в приравненных районах. Общеустановленный пенсионный возраст поэтапно будет повышен на 5 лет для мужчин и на 8 лет для женщин (до 60 и 58 лет соответственно).</w:t>
      </w:r>
    </w:p>
    <w:p>
      <w:pPr>
        <w:pStyle w:val="Style16"/>
        <w:rPr/>
      </w:pPr>
      <w:r>
        <w:rPr/>
        <w:t>Специальный стаж, дающий право на досрочную пенсию (составляет от 15 до 30 лет), не меняется для педагогических, медицинских и творческих работников. При этом предлагается постепенно переносить срок обращения за ней. (подробнее – см. в следующем разделе).</w:t>
      </w:r>
    </w:p>
    <w:p>
      <w:pPr>
        <w:pStyle w:val="Style16"/>
        <w:rPr/>
      </w:pPr>
      <w:r>
        <w:rPr/>
        <w:drawing>
          <wp:anchor behindDoc="0" distT="0" distB="0" distL="0" distR="0" simplePos="0" locked="0" layoutInCell="1" allowOverlap="1" relativeHeight="2">
            <wp:simplePos x="0" y="0"/>
            <wp:positionH relativeFrom="column">
              <wp:align>center</wp:align>
            </wp:positionH>
            <wp:positionV relativeFrom="paragraph">
              <wp:align>top</wp:align>
            </wp:positionV>
            <wp:extent cx="6120130" cy="1906270"/>
            <wp:effectExtent l="0" t="0" r="0" b="0"/>
            <wp:wrapSquare wrapText="largest"/>
            <wp:docPr id="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 descr=""/>
                    <pic:cNvPicPr>
                      <a:picLocks noChangeAspect="1" noChangeArrowheads="1"/>
                    </pic:cNvPicPr>
                  </pic:nvPicPr>
                  <pic:blipFill>
                    <a:blip r:embed="rId3"/>
                    <a:stretch>
                      <a:fillRect/>
                    </a:stretch>
                  </pic:blipFill>
                  <pic:spPr bwMode="auto">
                    <a:xfrm>
                      <a:off x="0" y="0"/>
                      <a:ext cx="6120130" cy="1906270"/>
                    </a:xfrm>
                    <a:prstGeom prst="rect">
                      <a:avLst/>
                    </a:prstGeom>
                  </pic:spPr>
                </pic:pic>
              </a:graphicData>
            </a:graphic>
          </wp:anchor>
        </w:drawing>
      </w:r>
    </w:p>
    <w:p>
      <w:pPr>
        <w:pStyle w:val="3"/>
        <w:numPr>
          <w:ilvl w:val="2"/>
          <w:numId w:val="1"/>
        </w:numPr>
        <w:rPr/>
      </w:pPr>
      <w:hyperlink r:id="rId4">
        <w:r>
          <w:rPr>
            <w:rStyle w:val="Style12"/>
          </w:rPr>
          <w:t>Для каких категорий работников, выходящих на пенсию досрочно, возраст выхода на пенсию будет увеличен?</w:t>
        </w:r>
      </w:hyperlink>
    </w:p>
    <w:p>
      <w:pPr>
        <w:pStyle w:val="Style16"/>
        <w:rPr/>
      </w:pPr>
      <w:r>
        <w:rPr/>
        <w:t>1. Для работников, которые выходят на пенсию досрочно в связи с работой в районах Крайнего Севера и в местностях, приравненных к районам Крайнего Севера. Для тех, кому возраст выхода установлен 55 лет (для мужчин) и 50 лет (для женщин), предусматривается повышение возраста выхода на пенсию до 60 лет и 58 лет соответственно. Существенное снижение пенсионного возраста для северян было обусловлено в 50-е годы XX века чрезвычайно сложными условиями проживания в этих районах. Фактически полное отсутствие инфраструктуры для работы и жизни предопределило такой низкий возраст. Меры, принятые в рамках долгосрочной демографической программы на 2007-2025 годы, оказали положительное влияние на изменение ситуации с продолжительностью жизни, особенно в северных регионах страны.</w:t>
      </w:r>
    </w:p>
    <w:p>
      <w:pPr>
        <w:pStyle w:val="Style16"/>
        <w:rPr/>
      </w:pPr>
      <w:r>
        <w:rPr/>
        <w:t>2.Для педагогических, медицинских, творческих работников. Для данной категории работников увеличение требований к продолжительности специального стажа не предусмотрено. Вместе с тем, исходя из общего увеличения возраста выхода на пенсию, для данных граждан срок обращения за досрочной пенсией будет постепенно увеличиваться. Сейчас данным категориям работников необходимо выработать специальный стаж длительностью от 15 до 30 лет в зависимости от конкретной категории льготника. Срок выхода на пенсию будет исчисляться исходя из даты выработки специального стажа и периода отсрочки обращения за ней. </w:t>
      </w:r>
    </w:p>
    <w:p>
      <w:pPr>
        <w:pStyle w:val="Style16"/>
        <w:rPr/>
      </w:pPr>
      <w:r>
        <w:rPr/>
        <w:t>Год, в котором эти работники вырабатывают специальный стаж, фиксируется, а назначить «досрочную» пенсию можно будет по истечении определенного срока. В течение переходного периода с 2019 по 2034 год срок обращения за пенсией будет переноситься на период от 1 до 8 лет. Те, кто выработает специальный стаж в 2034 году и далее, получат право обратиться за назначением страховой пенсии через 8 лет с даты выработки этого стажа.</w:t>
      </w:r>
    </w:p>
    <w:p>
      <w:pPr>
        <w:pStyle w:val="Style16"/>
        <w:rPr/>
      </w:pPr>
      <w:r>
        <w:rPr>
          <w:rStyle w:val="Style14"/>
        </w:rPr>
        <w:t>Пример: педагогическим работникам требуется 25 лет выслуги в учреждениях для детей независимо от возраста и пола. Если школьный учитель, например, в 2019 году выработает необходимый стаж, пенсия ему будет назначена через год, то есть в 2020 году. Если требуемый стаж выработан в 2024 году, то пенсия назначается через 6 лет, то есть в 2030 году.</w:t>
      </w:r>
    </w:p>
    <w:p>
      <w:pPr>
        <w:pStyle w:val="Style16"/>
        <w:rPr/>
      </w:pPr>
      <w:r>
        <w:rPr/>
        <w:t> </w:t>
      </w:r>
    </w:p>
    <w:p>
      <w:pPr>
        <w:pStyle w:val="3"/>
        <w:numPr>
          <w:ilvl w:val="2"/>
          <w:numId w:val="1"/>
        </w:numPr>
        <w:rPr/>
      </w:pPr>
      <w:hyperlink r:id="rId5">
        <w:r>
          <w:rPr>
            <w:rStyle w:val="Style12"/>
          </w:rPr>
          <w:t>Новые основания для досрочного назначения пенсии</w:t>
        </w:r>
      </w:hyperlink>
    </w:p>
    <w:p>
      <w:pPr>
        <w:pStyle w:val="Style16"/>
        <w:rPr/>
      </w:pPr>
      <w:r>
        <w:rPr>
          <w:rStyle w:val="Style11"/>
        </w:rPr>
        <w:t>Досрочное назначение пенсии за длительный стаж</w:t>
      </w:r>
    </w:p>
    <w:p>
      <w:pPr>
        <w:pStyle w:val="Style16"/>
        <w:rPr/>
      </w:pPr>
      <w:r>
        <w:rPr/>
        <w:t>Предусматривается новое основание для граждан, имеющих большой стаж. Женщины со стажем не менее 40 лет и мужчины со стажем не менее 45 лет смогут выйти на пенсию на два года раньше общеустановленного пенсионного возраста.</w:t>
      </w:r>
    </w:p>
    <w:p>
      <w:pPr>
        <w:pStyle w:val="Style16"/>
        <w:rPr/>
      </w:pPr>
      <w:r>
        <w:rPr>
          <w:rStyle w:val="Style11"/>
        </w:rPr>
        <w:t>Досрочные пенсии для безработных граждан</w:t>
      </w:r>
    </w:p>
    <w:p>
      <w:pPr>
        <w:pStyle w:val="Style16"/>
        <w:rPr/>
      </w:pPr>
      <w:r>
        <w:rPr/>
        <w:t>Для граждан предпенсионного возраста сохраняется возможность выйти на пенсию раньше установленного пенсионного возраста при отсутствии возможности трудоустройства. Пенсия в таких случаях устанавливается на два года раньше с учетом предусмотренного законопроектом переходного периода.</w:t>
      </w:r>
    </w:p>
    <w:p>
      <w:pPr>
        <w:pStyle w:val="3"/>
        <w:numPr>
          <w:ilvl w:val="2"/>
          <w:numId w:val="1"/>
        </w:numPr>
        <w:spacing w:before="140" w:after="120"/>
        <w:rPr/>
      </w:pPr>
      <w:r>
        <w:rPr/>
      </w:r>
    </w:p>
    <w:p>
      <w:pPr>
        <w:sectPr>
          <w:type w:val="continuous"/>
          <w:pgSz w:w="11906" w:h="16838"/>
          <w:pgMar w:left="1134" w:right="1134" w:header="0" w:top="1134" w:footer="0" w:bottom="1134" w:gutter="0"/>
          <w:formProt w:val="false"/>
          <w:textDirection w:val="lrTb"/>
          <w:docGrid w:type="default" w:linePitch="240" w:charSpace="4294961151"/>
        </w:sectPr>
      </w:pPr>
    </w:p>
    <w:sectPr>
      <w:type w:val="continuous"/>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Заголовок 1"/>
    <w:basedOn w:val="Style15"/>
    <w:pPr>
      <w:spacing w:before="240" w:after="120"/>
      <w:outlineLvl w:val="0"/>
    </w:pPr>
    <w:rPr>
      <w:b/>
      <w:bCs/>
      <w:sz w:val="36"/>
      <w:szCs w:val="36"/>
    </w:rPr>
  </w:style>
  <w:style w:type="paragraph" w:styleId="2">
    <w:name w:val="Заголовок 2"/>
    <w:basedOn w:val="Style15"/>
    <w:pPr>
      <w:spacing w:before="200" w:after="120"/>
      <w:outlineLvl w:val="1"/>
    </w:pPr>
    <w:rPr>
      <w:b/>
      <w:bCs/>
      <w:sz w:val="32"/>
      <w:szCs w:val="32"/>
    </w:rPr>
  </w:style>
  <w:style w:type="paragraph" w:styleId="3">
    <w:name w:val="Заголовок 3"/>
    <w:basedOn w:val="Style15"/>
    <w:pPr>
      <w:spacing w:before="140" w:after="120"/>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character" w:styleId="Style13">
    <w:name w:val="Маркеры списка"/>
    <w:qFormat/>
    <w:rPr>
      <w:rFonts w:ascii="OpenSymbol" w:hAnsi="OpenSymbol" w:eastAsia="OpenSymbol" w:cs="OpenSymbol"/>
    </w:rPr>
  </w:style>
  <w:style w:type="character" w:styleId="Style14">
    <w:name w:val="Выделение"/>
    <w:rPr>
      <w:i/>
      <w:iCs/>
    </w:rPr>
  </w:style>
  <w:style w:type="character" w:styleId="ListLabel1">
    <w:name w:val="ListLabel 1"/>
    <w:qFormat/>
    <w:rPr>
      <w:rFonts w:cs="OpenSymbol"/>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Основной текст"/>
    <w:basedOn w:val="Normal"/>
    <w:pPr>
      <w:spacing w:lineRule="auto" w:line="288" w:before="0" w:after="140"/>
    </w:pPr>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Блочная цитата"/>
    <w:basedOn w:val="Normal"/>
    <w:qFormat/>
    <w:pPr>
      <w:spacing w:before="0" w:after="283"/>
      <w:ind w:left="567" w:right="567" w:hanging="0"/>
    </w:pPr>
    <w:rPr/>
  </w:style>
  <w:style w:type="paragraph" w:styleId="Style21">
    <w:name w:val="Заглавие"/>
    <w:basedOn w:val="Style15"/>
    <w:pPr>
      <w:jc w:val="center"/>
    </w:pPr>
    <w:rPr>
      <w:b/>
      <w:bCs/>
      <w:sz w:val="56"/>
      <w:szCs w:val="56"/>
    </w:rPr>
  </w:style>
  <w:style w:type="paragraph" w:styleId="Style22">
    <w:name w:val="Подзаголовок"/>
    <w:basedOn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frf.ru/zakonoproekt" TargetMode="External"/><Relationship Id="rId3" Type="http://schemas.openxmlformats.org/officeDocument/2006/relationships/image" Target="media/image1.png"/><Relationship Id="rId4" Type="http://schemas.openxmlformats.org/officeDocument/2006/relationships/hyperlink" Target="http://www.pfrf.ru/zakonoproekt" TargetMode="External"/><Relationship Id="rId5" Type="http://schemas.openxmlformats.org/officeDocument/2006/relationships/hyperlink" Target="http://www.pfrf.ru/zakonoproekt"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TotalTime>
  <Application>LibreOffice/5.0.1.2$Windows_x86 LibreOffice_project/81898c9f5c0d43f3473ba111d7b351050be20261</Application>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2018-07-17T12:27:44Z</dcterms:created>
  <dc:language>ru-RU</dc:language>
  <cp:lastPrinted>2018-07-17T14:43:49Z</cp:lastPrinted>
  <dcterms:modified xsi:type="dcterms:W3CDTF">2018-07-17T14:44:34Z</dcterms:modified>
  <cp:revision>3</cp:revision>
</cp:coreProperties>
</file>