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28"/>
          <w:szCs w:val="28"/>
        </w:rPr>
      </w:pPr>
      <w:bookmarkStart w:id="0" w:name="__DdeLink__1059_434194198"/>
      <w:bookmarkEnd w:id="0"/>
      <w:r>
        <w:rPr>
          <w:sz w:val="28"/>
          <w:szCs w:val="28"/>
        </w:rPr>
        <w:t>Основные виды пенсии в России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173990</wp:posOffset>
            </wp:positionH>
            <wp:positionV relativeFrom="paragraph">
              <wp:posOffset>504825</wp:posOffset>
            </wp:positionV>
            <wp:extent cx="3363595" cy="4753610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3595" cy="4753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2018-07-11T12:11:57Z</dcterms:created>
  <dc:language>ru-RU</dc:language>
  <cp:lastPrinted>2018-07-11T12:12:30Z</cp:lastPrinted>
  <dcterms:modified xsi:type="dcterms:W3CDTF">2018-07-11T12:12:42Z</dcterms:modified>
  <cp:revision>1</cp:revision>
</cp:coreProperties>
</file>