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37_1389436445"/>
      <w:r>
        <w:rPr/>
        <w:t>Как оформить выплаты по уходу за нетрудоспособными гражданами</w:t>
      </w:r>
      <w:bookmarkEnd w:id="0"/>
      <w:r>
        <w:rPr/>
        <w:t xml:space="preserve">, детьми-инвалидами и инвалидами с детства 1 группы? Подробности в лифлете Пенсионного фонда.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-43180</wp:posOffset>
            </wp:positionH>
            <wp:positionV relativeFrom="paragraph">
              <wp:posOffset>76200</wp:posOffset>
            </wp:positionV>
            <wp:extent cx="3630930" cy="267779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930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-52705</wp:posOffset>
            </wp:positionH>
            <wp:positionV relativeFrom="paragraph">
              <wp:posOffset>102870</wp:posOffset>
            </wp:positionV>
            <wp:extent cx="3901440" cy="2877185"/>
            <wp:effectExtent l="0" t="0" r="0" b="0"/>
            <wp:wrapSquare wrapText="largest"/>
            <wp:docPr id="2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2018-08-01T15:38:53Z</dcterms:created>
  <dc:language>ru-RU</dc:language>
  <dcterms:modified xsi:type="dcterms:W3CDTF">2018-08-01T15:39:46Z</dcterms:modified>
  <cp:revision>1</cp:revision>
</cp:coreProperties>
</file>