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Набор социальных услуг федеральные льготники могут получать в денежной или натуральной форме. </w:t>
      </w:r>
      <w:bookmarkStart w:id="0" w:name="__DdeLink__408_1389436445"/>
      <w:r>
        <w:rPr/>
        <w:t>Не забудьте сделать свой выбор до 1 октября этого года</w:t>
      </w:r>
      <w:bookmarkEnd w:id="0"/>
      <w:r>
        <w:rPr/>
        <w:t xml:space="preserve">!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165100</wp:posOffset>
            </wp:positionH>
            <wp:positionV relativeFrom="paragraph">
              <wp:posOffset>0</wp:posOffset>
            </wp:positionV>
            <wp:extent cx="3904615" cy="2675255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4615" cy="2675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2018-08-01T14:57:56Z</dcterms:created>
  <dc:language>ru-RU</dc:language>
  <cp:lastPrinted>2018-08-01T14:59:19Z</cp:lastPrinted>
  <dcterms:modified xsi:type="dcterms:W3CDTF">2018-08-01T14:59:35Z</dcterms:modified>
  <cp:revision>1</cp:revision>
</cp:coreProperties>
</file>