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66_434194198"/>
      <w:r>
        <w:rPr/>
        <w:t>О том как получить набор социальных услуг подробно в лифлете ПФР</w:t>
      </w:r>
      <w:bookmarkEnd w:id="0"/>
      <w:r>
        <w:rPr/>
        <w:t xml:space="preserve">: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-61595</wp:posOffset>
            </wp:positionH>
            <wp:positionV relativeFrom="paragraph">
              <wp:posOffset>152400</wp:posOffset>
            </wp:positionV>
            <wp:extent cx="4041140" cy="298069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140" cy="298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-153670</wp:posOffset>
            </wp:positionH>
            <wp:positionV relativeFrom="paragraph">
              <wp:posOffset>127635</wp:posOffset>
            </wp:positionV>
            <wp:extent cx="4152265" cy="3062605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265" cy="3062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2018-07-11T12:18:50Z</dcterms:created>
  <dc:language>ru-RU</dc:language>
  <cp:lastPrinted>2018-07-11T12:19:41Z</cp:lastPrinted>
  <dcterms:modified xsi:type="dcterms:W3CDTF">2018-07-11T12:20:33Z</dcterms:modified>
  <cp:revision>1</cp:revision>
</cp:coreProperties>
</file>