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40_434194198"/>
      <w:r>
        <w:rPr/>
        <w:t>Пенсионные накопления можно получить по наследству</w:t>
      </w:r>
      <w:bookmarkEnd w:id="0"/>
      <w:r>
        <w:rPr/>
        <w:t xml:space="preserve">. О том, как это сделать и куда обращаться в лифлете ПФР.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-43180</wp:posOffset>
            </wp:positionH>
            <wp:positionV relativeFrom="paragraph">
              <wp:posOffset>68580</wp:posOffset>
            </wp:positionV>
            <wp:extent cx="4346575" cy="3205480"/>
            <wp:effectExtent l="0" t="0" r="0" b="0"/>
            <wp:wrapSquare wrapText="largest"/>
            <wp:docPr id="1" name="Изображение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575" cy="3205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118745</wp:posOffset>
            </wp:positionH>
            <wp:positionV relativeFrom="paragraph">
              <wp:posOffset>57150</wp:posOffset>
            </wp:positionV>
            <wp:extent cx="4175125" cy="3079115"/>
            <wp:effectExtent l="0" t="0" r="0" b="0"/>
            <wp:wrapSquare wrapText="largest"/>
            <wp:docPr id="2" name="Изображение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125" cy="3079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2018-07-11T12:46:36Z</dcterms:created>
  <dc:language>ru-RU</dc:language>
  <dcterms:modified xsi:type="dcterms:W3CDTF">2018-07-11T12:47:32Z</dcterms:modified>
  <cp:revision>1</cp:revision>
</cp:coreProperties>
</file>