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7 причин для того чтобы установить </w:t>
      </w:r>
      <w:bookmarkStart w:id="0" w:name="__DdeLink__136_949693097"/>
      <w:r>
        <w:rPr/>
        <w:t>мобильное приложение ПФР</w:t>
      </w:r>
      <w:bookmarkEnd w:id="0"/>
      <w:r>
        <w:rPr/>
        <w:br/>
        <w:br/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и сервисам Личного кабинета гражданина, представленного на официальном на сайте Пенсионного фонда:</w:t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  <w:br/>
        <w:t xml:space="preserve">3. Всегда под рукой информация о пенсионных накоплениях: их общий размер, а также размер с учетом их инвестирования. </w:t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  <w:br/>
        <w:t xml:space="preserve"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  <w:br/>
        <w:t xml:space="preserve">6. Для пенсионеров доступна информация о размере их пенсии и других социальных выплат по линии ПФР. </w:t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 xml:space="preserve"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2018-07-11T14:25:10Z</dcterms:created>
  <dc:language>ru-RU</dc:language>
  <dcterms:modified xsi:type="dcterms:W3CDTF">2018-07-11T14:25:36Z</dcterms:modified>
  <cp:revision>1</cp:revision>
</cp:coreProperties>
</file>