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А мы напоминаем, что </w:t>
      </w:r>
      <w:bookmarkStart w:id="0" w:name="__DdeLink__1440_1304808908"/>
      <w:r>
        <w:rPr/>
        <w:t>многие услуги Пенсионного фонда доступны в нашем мобильном приложении</w:t>
      </w:r>
      <w:bookmarkEnd w:id="0"/>
      <w:r>
        <w:rPr/>
        <w:t>. Скачивайте - и пользуйтесь!</w:t>
        <w:br/>
        <w:br/>
        <w:t xml:space="preserve">Не забывайте предварительно зарегистрироваться на сайте госуслуг.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-59055</wp:posOffset>
            </wp:positionH>
            <wp:positionV relativeFrom="paragraph">
              <wp:posOffset>13335</wp:posOffset>
            </wp:positionV>
            <wp:extent cx="3424555" cy="204406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2044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179070</wp:posOffset>
            </wp:positionH>
            <wp:positionV relativeFrom="paragraph">
              <wp:posOffset>81280</wp:posOffset>
            </wp:positionV>
            <wp:extent cx="4470400" cy="317817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2018-06-05T15:55:05Z</dcterms:created>
  <dc:language>ru-RU</dc:language>
  <dcterms:modified xsi:type="dcterms:W3CDTF">2018-06-05T15:56:10Z</dcterms:modified>
  <cp:revision>1</cp:revision>
</cp:coreProperties>
</file>