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470_1304808908"/>
      <w:r>
        <w:rPr/>
        <w:t>Как оформить выплаты по уходу</w:t>
      </w:r>
      <w:bookmarkEnd w:id="0"/>
      <w:r>
        <w:rPr/>
        <w:t xml:space="preserve"> за нетрудоспособными гражданами, детьми-инвалидами и инвалидами с детства 1 группы? Подробности в лифлете Пенсионного фонда.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203835</wp:posOffset>
            </wp:positionH>
            <wp:positionV relativeFrom="paragraph">
              <wp:posOffset>108585</wp:posOffset>
            </wp:positionV>
            <wp:extent cx="3540760" cy="2611120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760" cy="261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4445</wp:posOffset>
            </wp:positionH>
            <wp:positionV relativeFrom="paragraph">
              <wp:posOffset>2407920</wp:posOffset>
            </wp:positionV>
            <wp:extent cx="3901440" cy="2877185"/>
            <wp:effectExtent l="0" t="0" r="0" b="0"/>
            <wp:wrapSquare wrapText="largest"/>
            <wp:docPr id="2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40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2018-06-05T16:05:44Z</dcterms:created>
  <dc:language>ru-RU</dc:language>
  <cp:lastPrinted>2018-06-05T16:06:35Z</cp:lastPrinted>
  <dcterms:modified xsi:type="dcterms:W3CDTF">2018-06-05T16:06:56Z</dcterms:modified>
  <cp:revision>1</cp:revision>
</cp:coreProperties>
</file>