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997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платить детский сад можно и не дожидаясь трехлетия второго ребенка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</w:t>
      </w:r>
    </w:p>
    <w:p>
      <w:pPr>
        <w:pStyle w:val="Style12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Правда ли, что с этого года оплатить детский сад можно и не дожидаясь трехлетия второго ребенка ?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Да, с 1 января 2018 года заявление о распоряжении средствами материнского капитала на получение образования ребёнком в любой дошкольной организации, имеющей право на оказание соответствующих образовательных услуг, может быть подано до достижения трёх лет с момента рождения или усыновления ребенка, давшего право на дополнительные меры государственной поддержки. </w:t>
      </w:r>
      <w:r>
        <w:rP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Средства материнского капитала также можно направить на оплату иных, связанных с получением дошкольного образования, расходов.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2018-06-05T15:15:35Z</dcterms:created>
  <dc:language>ru-RU</dc:language>
  <cp:lastPrinted>2018-06-05T15:16:17Z</cp:lastPrinted>
  <dcterms:modified xsi:type="dcterms:W3CDTF">2018-06-05T15:16:35Z</dcterms:modified>
  <cp:revision>1</cp:revision>
</cp:coreProperties>
</file>