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77_1508977161"/>
      <w:r>
        <w:rPr/>
        <w:t>Пенсионные накопления можно получить по наследству</w:t>
      </w:r>
      <w:bookmarkEnd w:id="0"/>
      <w:r>
        <w:rPr/>
        <w:t xml:space="preserve">. О том, как это сделать и куда обращаться в лифлете ПФР.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128270</wp:posOffset>
            </wp:positionH>
            <wp:positionV relativeFrom="paragraph">
              <wp:posOffset>66675</wp:posOffset>
            </wp:positionV>
            <wp:extent cx="3901440" cy="2877185"/>
            <wp:effectExtent l="0" t="0" r="0" b="0"/>
            <wp:wrapSquare wrapText="largest"/>
            <wp:docPr id="1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204470</wp:posOffset>
            </wp:positionH>
            <wp:positionV relativeFrom="paragraph">
              <wp:posOffset>266700</wp:posOffset>
            </wp:positionV>
            <wp:extent cx="3901440" cy="2877185"/>
            <wp:effectExtent l="0" t="0" r="0" b="0"/>
            <wp:wrapSquare wrapText="largest"/>
            <wp:docPr id="2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2018-05-08T09:31:38Z</dcterms:created>
  <dc:language>ru-RU</dc:language>
  <dcterms:modified xsi:type="dcterms:W3CDTF">2018-05-08T09:32:23Z</dcterms:modified>
  <cp:revision>1</cp:revision>
</cp:coreProperties>
</file>