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>
          <w:sz w:val="20"/>
          <w:szCs w:val="20"/>
        </w:rPr>
        <w:t>Вниманию граждан, чьи пенсионные накопления находятся в «НПФ ЛУКОЙЛ-ГАРАНТ», «НПФ электроэнергетики» и «НПФ РГС»</w:t>
      </w:r>
    </w:p>
    <w:p>
      <w:pPr>
        <w:pStyle w:val="Style14"/>
        <w:jc w:val="both"/>
        <w:rPr/>
      </w:pPr>
      <w:r>
        <w:rPr/>
        <w:t>Акционерное общество «</w:t>
      </w:r>
      <w:bookmarkStart w:id="0" w:name="__DdeLink__1347_105633607"/>
      <w:r>
        <w:rPr/>
        <w:t>НПФ  ЛУКОЙЛ-ГАРАНТ» уведомило Пенсионный фонд России о начале своей реорганизации</w:t>
      </w:r>
      <w:bookmarkEnd w:id="0"/>
      <w:r>
        <w:rPr/>
        <w:t>, путем присоединения к нему  двух других негосударственных пенсионных фондов -  АО «НПФ электроэнергетики» и  АО «НПФ РГС». То есть из трех НПФ* будет образован один - АО «НПФ  ЛУКОЙЛ-ГАРАНТ».</w:t>
      </w:r>
    </w:p>
    <w:p>
      <w:pPr>
        <w:pStyle w:val="Style14"/>
        <w:jc w:val="both"/>
        <w:rPr/>
      </w:pPr>
      <w:r>
        <w:rPr/>
        <w:t>В связи с этим граждане, чьи пенсионные накопления находятся в трех вышеназванных НПФ (АО «НПФ  ЛУКОЙЛ-ГАРАНТ», АО «НПФ электроэнергетики» и  АО «НПФ РГС»)  при желании имеют право подать заявление о досрочном  переходе из них в другой негосударственный пенсионный фонд или в Пенсионный фонд Российской Федерации без потери инвестиционного дохода.Если же гражданин не сообщит о своем решении поменять страховщика, то его накопительная пенсия автоматически остается в           АО «НПФ  ЛУКОЙЛ-ГАРАНТ» (то есть будет формироваться в этом НПФ).</w:t>
      </w:r>
    </w:p>
    <w:p>
      <w:pPr>
        <w:pStyle w:val="Style14"/>
        <w:rPr/>
      </w:pPr>
      <w:r>
        <w:rPr>
          <w:rStyle w:val="Style12"/>
          <w:sz w:val="20"/>
          <w:szCs w:val="20"/>
        </w:rPr>
        <w:t>Негосударственные пенсионные фонды, находящиеся</w:t>
      </w:r>
    </w:p>
    <w:p>
      <w:pPr>
        <w:pStyle w:val="Style14"/>
        <w:jc w:val="center"/>
        <w:rPr/>
      </w:pPr>
      <w:r>
        <w:rPr>
          <w:rStyle w:val="Style12"/>
        </w:rPr>
        <w:t>в стадии реорганизации</w:t>
      </w:r>
      <w:r>
        <w:rPr/>
        <w:t>:</w:t>
      </w:r>
    </w:p>
    <w:p>
      <w:pPr>
        <w:pStyle w:val="Style14"/>
        <w:rPr/>
      </w:pPr>
      <w:r>
        <w:rPr>
          <w:rStyle w:val="Style11"/>
        </w:rPr>
        <w:t> </w:t>
      </w:r>
    </w:p>
    <w:tbl>
      <w:tblPr>
        <w:tblW w:w="9638" w:type="dxa"/>
        <w:jc w:val="left"/>
        <w:tblInd w:w="28" w:type="dxa"/>
        <w:tblBorders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25"/>
        <w:gridCol w:w="2397"/>
        <w:gridCol w:w="2064"/>
        <w:gridCol w:w="2651"/>
      </w:tblGrid>
      <w:tr>
        <w:trPr/>
        <w:tc>
          <w:tcPr>
            <w:tcW w:w="2525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rPr/>
            </w:pPr>
            <w:r>
              <w:rPr>
                <w:rStyle w:val="Style11"/>
              </w:rPr>
              <w:t>НПФ</w:t>
            </w:r>
          </w:p>
        </w:tc>
        <w:tc>
          <w:tcPr>
            <w:tcW w:w="2397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rPr/>
            </w:pPr>
            <w:r>
              <w:rPr>
                <w:rStyle w:val="Style11"/>
              </w:rPr>
              <w:t>Реорганизация в форме присоединения</w:t>
            </w:r>
          </w:p>
        </w:tc>
        <w:tc>
          <w:tcPr>
            <w:tcW w:w="2064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rPr/>
            </w:pPr>
            <w:r>
              <w:rPr>
                <w:rStyle w:val="Style11"/>
              </w:rPr>
              <w:t>Дата начала реорганизации</w:t>
            </w:r>
          </w:p>
        </w:tc>
        <w:tc>
          <w:tcPr>
            <w:tcW w:w="2651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rPr/>
            </w:pPr>
            <w:r>
              <w:rPr>
                <w:rStyle w:val="Style11"/>
              </w:rPr>
              <w:t>Планируемая дата завершения реорганизации</w:t>
            </w:r>
          </w:p>
        </w:tc>
      </w:tr>
      <w:tr>
        <w:trPr/>
        <w:tc>
          <w:tcPr>
            <w:tcW w:w="2525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rPr/>
            </w:pPr>
            <w:r>
              <w:rPr/>
              <w:t>АО «НПФ электроэнергетики»</w:t>
            </w:r>
          </w:p>
          <w:p>
            <w:pPr>
              <w:pStyle w:val="Style21"/>
              <w:spacing w:before="0" w:after="283"/>
              <w:rPr/>
            </w:pPr>
            <w:r>
              <w:rPr>
                <w:rStyle w:val="Style11"/>
              </w:rPr>
              <w:t> </w:t>
            </w:r>
          </w:p>
        </w:tc>
        <w:tc>
          <w:tcPr>
            <w:tcW w:w="2397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jc w:val="center"/>
              <w:rPr/>
            </w:pPr>
            <w:r>
              <w:rPr/>
              <w:t>АО «НПФ «ЛУКОЙЛ-</w:t>
            </w:r>
          </w:p>
          <w:p>
            <w:pPr>
              <w:pStyle w:val="Style21"/>
              <w:spacing w:before="0" w:after="283"/>
              <w:jc w:val="center"/>
              <w:rPr/>
            </w:pPr>
            <w:r>
              <w:rPr/>
              <w:t>ГАРАНТ»</w:t>
            </w:r>
          </w:p>
        </w:tc>
        <w:tc>
          <w:tcPr>
            <w:tcW w:w="2064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rPr/>
            </w:pPr>
            <w:r>
              <w:rPr/>
              <w:t> </w:t>
            </w:r>
            <w:r>
              <w:rPr/>
              <w:t>Решение б/н</w:t>
            </w:r>
          </w:p>
          <w:p>
            <w:pPr>
              <w:pStyle w:val="Style21"/>
              <w:spacing w:before="0" w:after="283"/>
              <w:jc w:val="center"/>
              <w:rPr/>
            </w:pPr>
            <w:r>
              <w:rPr/>
              <w:t>от 06.03.2018</w:t>
            </w:r>
          </w:p>
        </w:tc>
        <w:tc>
          <w:tcPr>
            <w:tcW w:w="2651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rPr/>
            </w:pPr>
            <w:r>
              <w:rPr/>
              <w:t> </w:t>
            </w:r>
            <w:r>
              <w:rPr/>
              <w:t>3 квартал 2018 г.</w:t>
            </w:r>
          </w:p>
        </w:tc>
      </w:tr>
      <w:tr>
        <w:trPr/>
        <w:tc>
          <w:tcPr>
            <w:tcW w:w="2525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rPr/>
            </w:pPr>
            <w:r>
              <w:rPr/>
              <w:t>АО «НПФ РГС»</w:t>
            </w:r>
          </w:p>
        </w:tc>
        <w:tc>
          <w:tcPr>
            <w:tcW w:w="7112" w:type="dxa"/>
            <w:gridSpan w:val="3"/>
            <w:tcBorders/>
            <w:shd w:fill="auto" w:val="clear"/>
          </w:tcPr>
          <w:p>
            <w:pPr>
              <w:pStyle w:val="Style21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5" w:type="dxa"/>
            <w:tcBorders/>
            <w:shd w:fill="auto" w:val="clear"/>
            <w:vAlign w:val="center"/>
          </w:tcPr>
          <w:p>
            <w:pPr>
              <w:pStyle w:val="Style21"/>
              <w:spacing w:before="0" w:after="283"/>
              <w:rPr/>
            </w:pPr>
            <w:r>
              <w:rPr/>
              <w:t>АО «НПФ «ЛУКОЙЛ-ГАРАНТ»</w:t>
            </w:r>
          </w:p>
        </w:tc>
        <w:tc>
          <w:tcPr>
            <w:tcW w:w="7112" w:type="dxa"/>
            <w:gridSpan w:val="3"/>
            <w:tcBorders/>
            <w:shd w:fill="auto" w:val="clear"/>
          </w:tcPr>
          <w:p>
            <w:pPr>
              <w:pStyle w:val="Style21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Style14"/>
        <w:rPr/>
      </w:pPr>
      <w:r>
        <w:rPr>
          <w:rStyle w:val="Style11"/>
          <w:sz w:val="20"/>
          <w:szCs w:val="20"/>
        </w:rPr>
        <w:t> </w:t>
      </w:r>
    </w:p>
    <w:p>
      <w:pPr>
        <w:pStyle w:val="Style14"/>
        <w:jc w:val="both"/>
        <w:rPr/>
      </w:pPr>
      <w:r>
        <w:rPr>
          <w:rStyle w:val="Style11"/>
        </w:rPr>
        <w:t>*</w:t>
      </w:r>
      <w:r>
        <w:rPr>
          <w:rStyle w:val="Style12"/>
        </w:rPr>
        <w:t xml:space="preserve">НПФ </w:t>
      </w:r>
      <w:r>
        <w:rPr>
          <w:rStyle w:val="Style11"/>
        </w:rPr>
        <w:t>– негосударственный пенсионный фонд.</w:t>
      </w:r>
    </w:p>
    <w:p>
      <w:pPr>
        <w:pStyle w:val="Style14"/>
        <w:jc w:val="both"/>
        <w:rPr/>
      </w:pPr>
      <w:r>
        <w:rPr>
          <w:rStyle w:val="Style11"/>
        </w:rPr>
        <w:t xml:space="preserve">ДЛЯ СПРАВКИ: Страховщиком по обязательному пенсионному страхованию может выступать Пенсионный фонд Российской Федерации (ПФР) или негосударственный пенсионный фонд (НПФ), который вошел в реестр участников системы гарантирования прав застрахованных лиц и осуществляет деятельность по обязательному пенсионному страхованию. Со списком НПФ, вошедшим в систему гарантирования прав застрахованных лиц, можно ознакомиться в клиентских службах территориальных органов ПФР и на сайте Агентства по страхованию вкладов www.asv.org.ru. </w:t>
      </w:r>
    </w:p>
    <w:p>
      <w:pPr>
        <w:pStyle w:val="Style14"/>
        <w:jc w:val="both"/>
        <w:rPr/>
      </w:pPr>
      <w:r>
        <w:rPr>
          <w:rStyle w:val="Style11"/>
        </w:rPr>
        <w:t>Федеральным законом от 07.05.1998 №75-ФЗ «О негосударственных пенсионных фондах» предусмотрено, что НПФ может быть реорганизован путем слияния, присоединения, выделения или разделения.</w:t>
      </w:r>
    </w:p>
    <w:p>
      <w:pPr>
        <w:pStyle w:val="Style14"/>
        <w:jc w:val="both"/>
        <w:rPr/>
      </w:pPr>
      <w:r>
        <w:rPr>
          <w:rStyle w:val="Style11"/>
        </w:rPr>
        <w:t>Реорганизуемый НПФ направляет гражданам, заключившим с ним договоры об обязательном пенсионном страховании, уведомление о начале процедуры реорганизации. Это уведомление должно быть направлено в течение 30 рабочих дней с даты начала проведения процедуры реорганизации. Информация о НПФ, находящихся в стадии реорганизации (реорганизованных НПФ) размещена на сайте Банка России в разделе Финансовые рынки/Надзор за участниками финансовых рынков/Субъекты рынка коллективных инвестиций/Сведения о проведении реорганизации НПФ.</w:t>
      </w:r>
    </w:p>
    <w:p>
      <w:pPr>
        <w:pStyle w:val="Style14"/>
        <w:jc w:val="both"/>
        <w:rPr/>
      </w:pPr>
      <w:r>
        <w:rPr>
          <w:rStyle w:val="Style11"/>
        </w:rPr>
        <w:t xml:space="preserve">При реорганизации негосударственного пенсионного фонда застрахованные лица вправе осуществить переход в ПФР или в другой НПФ путем подачи заявлений о досрочном переходе из НПФ в ПФР, из одного НПФ в другой НПФ </w:t>
      </w:r>
      <w:r>
        <w:rPr>
          <w:rStyle w:val="Style12"/>
        </w:rPr>
        <w:t>с сохранением инвестиционного дохода</w:t>
      </w:r>
      <w:r>
        <w:rPr>
          <w:rStyle w:val="Style11"/>
        </w:rPr>
        <w:t xml:space="preserve">. </w:t>
      </w:r>
    </w:p>
    <w:p>
      <w:pPr>
        <w:pStyle w:val="Style14"/>
        <w:jc w:val="both"/>
        <w:rPr/>
      </w:pPr>
      <w:r>
        <w:rPr>
          <w:rStyle w:val="Style11"/>
        </w:rPr>
        <w:t> </w:t>
      </w:r>
    </w:p>
    <w:p>
      <w:pPr>
        <w:pStyle w:val="Style14"/>
        <w:spacing w:before="0" w:after="140"/>
        <w:jc w:val="both"/>
        <w:rPr/>
      </w:pPr>
      <w:r>
        <w:rPr>
          <w:rStyle w:val="Style11"/>
        </w:rPr>
        <w:t xml:space="preserve">ДЛЯ СВЕДЕНИЯ: бланки заявлений о выборе страховщика по обязательному пенсионному страхованию, а также инструкции по их заполнению размещены на сайте Пенсионного фонда Российской Федерации по адресу: www.pfrf.ru.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  <w:style w:type="paragraph" w:styleId="Style21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2018-05-07T17:12:27Z</dcterms:created>
  <dc:language>ru-RU</dc:language>
  <dcterms:modified xsi:type="dcterms:W3CDTF">2018-05-07T17:13:26Z</dcterms:modified>
  <cp:revision>1</cp:revision>
</cp:coreProperties>
</file>