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 начала 2018 года </w:t>
      </w:r>
      <w:bookmarkStart w:id="0" w:name="__DdeLink__1359_1508977161"/>
      <w:r>
        <w:rPr/>
        <w:t>за материнским капиталом обратилось более 61,6 тысяч семей</w:t>
      </w:r>
      <w:bookmarkEnd w:id="0"/>
      <w:r>
        <w:rPr/>
        <w:t xml:space="preserve"> .</w:t>
        <w:br/>
        <w:br/>
        <w:t>Стоит отметить, что средства материнского капитала стали чаще реализовывать на образование детей младшего возраста.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2018-05-08T08:37:46Z</dcterms:created>
  <dc:language>ru-RU</dc:language>
  <dcterms:modified xsi:type="dcterms:W3CDTF">2018-05-08T08:39:17Z</dcterms:modified>
  <cp:revision>1</cp:revision>
</cp:coreProperties>
</file>