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5"/>
        <w:jc w:val="center"/>
        <w:rPr>
          <w:b/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Государственная пенсия по инвалидности назначается военнослужащим</w:t>
      </w:r>
    </w:p>
    <w:p>
      <w:pPr>
        <w:pStyle w:val="Style15"/>
        <w:rPr/>
      </w:pPr>
      <w:r>
        <w:rPr/>
        <w:t>Государственная пенсия по инвалидности назначается военнослужащим; гражданам, пострадавшим в результате радиационных или техногенных катастроф; участникам Великой Отечественной войны; гражданам, награжденным знаком «Жителю блокадного Ленинграда»; космонавтам. Факт оплачиваемой трудовой деятельности на выплату государственной пенсии по инвалидности не влияет.</w:t>
      </w:r>
    </w:p>
    <w:p>
      <w:pPr>
        <w:pStyle w:val="3"/>
        <w:numPr>
          <w:ilvl w:val="2"/>
          <w:numId w:val="1"/>
        </w:numPr>
        <w:rPr/>
      </w:pPr>
      <w:hyperlink r:id="rId2">
        <w:r>
          <w:rPr>
            <w:rStyle w:val="Style11"/>
          </w:rPr>
          <w:t xml:space="preserve">Кто имеет право на назначение государственной пенсии по инвалидности </w:t>
        </w:r>
      </w:hyperlink>
    </w:p>
    <w:p>
      <w:pPr>
        <w:pStyle w:val="Style15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военнослужащие, ставшие инвалидами в период прохождения ими военной службы по призыву в качестве солдат, матросов, сержантов и старшин или не позднее трех месяцев после увольнения с военной службы. Инвалидность может наступить и позднее этого срока, но вследствие ранения, контузии, увечья или заболевания, которые получены в период прохождения военной службы; </w:t>
      </w:r>
    </w:p>
    <w:p>
      <w:pPr>
        <w:pStyle w:val="Style15"/>
        <w:numPr>
          <w:ilvl w:val="0"/>
          <w:numId w:val="3"/>
        </w:numPr>
        <w:tabs>
          <w:tab w:val="left" w:pos="0" w:leader="none"/>
        </w:tabs>
        <w:ind w:left="707" w:hanging="283"/>
        <w:rPr/>
      </w:pPr>
      <w:r>
        <w:rPr/>
        <w:t xml:space="preserve">граждане, награжденные знаком «Жителю блокадного Ленинграда», - инвалиды I, II и III группы; </w:t>
      </w:r>
    </w:p>
    <w:p>
      <w:pPr>
        <w:pStyle w:val="Style15"/>
        <w:numPr>
          <w:ilvl w:val="0"/>
          <w:numId w:val="4"/>
        </w:numPr>
        <w:tabs>
          <w:tab w:val="left" w:pos="0" w:leader="none"/>
        </w:tabs>
        <w:ind w:left="707" w:hanging="283"/>
        <w:rPr/>
      </w:pPr>
      <w:r>
        <w:rPr/>
        <w:t xml:space="preserve">участники Великой Отечественной войны; </w:t>
      </w:r>
    </w:p>
    <w:p>
      <w:pPr>
        <w:pStyle w:val="Style15"/>
        <w:numPr>
          <w:ilvl w:val="0"/>
          <w:numId w:val="5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граждане, ставшие инвалидами вследствие катастрофы на Чернобыльской АЭС; </w:t>
      </w:r>
    </w:p>
    <w:p>
      <w:pPr>
        <w:pStyle w:val="Style15"/>
        <w:numPr>
          <w:ilvl w:val="0"/>
          <w:numId w:val="5"/>
        </w:numPr>
        <w:tabs>
          <w:tab w:val="left" w:pos="0" w:leader="none"/>
        </w:tabs>
        <w:ind w:left="707" w:hanging="283"/>
        <w:rPr/>
      </w:pPr>
      <w:r>
        <w:rPr/>
        <w:t xml:space="preserve">космонавты, ставшие инвалидами вследствие ранения, контузии, увечья или заболевания, связанных с подготовкой или выполнением космического полета, независимо от продолжительности выслуги (работы). </w:t>
      </w:r>
    </w:p>
    <w:p>
      <w:pPr>
        <w:pStyle w:val="3"/>
        <w:numPr>
          <w:ilvl w:val="2"/>
          <w:numId w:val="1"/>
        </w:numPr>
        <w:rPr/>
      </w:pPr>
      <w:hyperlink r:id="rId3">
        <w:r>
          <w:rPr>
            <w:rStyle w:val="Style11"/>
          </w:rPr>
          <w:t xml:space="preserve">Куда обратиться </w:t>
        </w:r>
      </w:hyperlink>
    </w:p>
    <w:p>
      <w:pPr>
        <w:pStyle w:val="Style15"/>
        <w:rPr/>
      </w:pPr>
      <w:r>
        <w:rPr/>
        <w:t>Граждане могут обратиться за назначением пенсии в любое время после возникновения права на нее. Заявление о назначении пенсии может быть подано  в территориальный орган Пенсионного фонда России по месту жительства либо  по месту пребывания либо по месту фактического проживания гражданина, либо в многофункциональный центр (далее – МФЦ),  либо по почте .</w:t>
      </w:r>
    </w:p>
    <w:p>
      <w:pPr>
        <w:pStyle w:val="Style15"/>
        <w:rPr/>
      </w:pPr>
      <w:r>
        <w:rPr/>
        <w:t>Заявление  может быть подано лично гражданином, которому назначается пенсия, его представителем,  либо через работодателя. Также гражданин может направить заявление в форме электронного документа через «Личный кабинет гражданина» на официальном сайте ПФР.</w:t>
      </w:r>
    </w:p>
    <w:p>
      <w:pPr>
        <w:pStyle w:val="Style15"/>
        <w:rPr/>
      </w:pPr>
      <w:r>
        <w:rPr/>
        <w:t>Заявление о назначении пенсии по старости может быть принято территориальным органом ПФР и до наступления пенсионного возраста гражданина, но не ранее чем за месяц до достижения соответствующего возраста.</w:t>
      </w:r>
    </w:p>
    <w:p>
      <w:pPr>
        <w:pStyle w:val="Style15"/>
        <w:rPr/>
      </w:pPr>
      <w:r>
        <w:rPr/>
        <w:t>День приема заявления о назначении пенсии является день обращения за пенсией.</w:t>
      </w:r>
    </w:p>
    <w:p>
      <w:pPr>
        <w:pStyle w:val="Style15"/>
        <w:rPr/>
      </w:pPr>
      <w:r>
        <w:rPr/>
        <w:t> </w:t>
      </w:r>
      <w:r>
        <w:rPr/>
        <w:t>При подаче заявления о назначении:</w:t>
      </w:r>
    </w:p>
    <w:p>
      <w:pPr>
        <w:pStyle w:val="Style15"/>
        <w:numPr>
          <w:ilvl w:val="0"/>
          <w:numId w:val="6"/>
        </w:numPr>
        <w:tabs>
          <w:tab w:val="left" w:pos="0" w:leader="none"/>
        </w:tabs>
        <w:ind w:left="707" w:hanging="283"/>
        <w:rPr/>
      </w:pPr>
      <w:r>
        <w:rPr/>
        <w:t>лично (представителем, через работодателя) днем обращения за  пенсией  является день приема территориальным органом ПФР заявления;</w:t>
      </w:r>
    </w:p>
    <w:p>
      <w:pPr>
        <w:pStyle w:val="Style15"/>
        <w:numPr>
          <w:ilvl w:val="0"/>
          <w:numId w:val="6"/>
        </w:numPr>
        <w:tabs>
          <w:tab w:val="left" w:pos="0" w:leader="none"/>
        </w:tabs>
        <w:ind w:left="707" w:hanging="283"/>
        <w:rPr/>
      </w:pPr>
      <w:r>
        <w:rPr/>
        <w:t>по почте - днем обращения за  пенсией  считается дата, которая указана на почтовом штемпеле по месту отправления заявления;</w:t>
      </w:r>
    </w:p>
    <w:p>
      <w:pPr>
        <w:pStyle w:val="Style15"/>
        <w:numPr>
          <w:ilvl w:val="0"/>
          <w:numId w:val="6"/>
        </w:numPr>
        <w:tabs>
          <w:tab w:val="left" w:pos="0" w:leader="none"/>
        </w:tabs>
        <w:ind w:left="707" w:hanging="283"/>
        <w:rPr/>
      </w:pPr>
      <w:r>
        <w:rPr/>
        <w:t> </w:t>
      </w:r>
      <w:r>
        <w:rPr/>
        <w:t>через МФЦ – днем обращения за  пенсией  считается  дата приема заявления МФЦ;</w:t>
      </w:r>
    </w:p>
    <w:p>
      <w:pPr>
        <w:pStyle w:val="Style15"/>
        <w:numPr>
          <w:ilvl w:val="0"/>
          <w:numId w:val="6"/>
        </w:numPr>
        <w:tabs>
          <w:tab w:val="left" w:pos="0" w:leader="none"/>
        </w:tabs>
        <w:ind w:left="707" w:hanging="283"/>
        <w:rPr/>
      </w:pPr>
      <w:r>
        <w:rPr/>
        <w:t>через «</w:t>
      </w:r>
      <w:hyperlink r:id="rId4">
        <w:r>
          <w:rPr>
            <w:rStyle w:val="Style11"/>
          </w:rPr>
          <w:t>Личный кабинет гражданина</w:t>
        </w:r>
      </w:hyperlink>
      <w:r>
        <w:rPr/>
        <w:t>» на официальном сайте ПФР -  днем обращения за пенсией считается дата подачи заявления в форме электронного документа.</w:t>
      </w:r>
    </w:p>
    <w:p>
      <w:pPr>
        <w:pStyle w:val="3"/>
        <w:numPr>
          <w:ilvl w:val="2"/>
          <w:numId w:val="1"/>
        </w:numPr>
        <w:rPr/>
      </w:pPr>
      <w:hyperlink r:id="rId5">
        <w:r>
          <w:rPr>
            <w:rStyle w:val="Style11"/>
          </w:rPr>
          <w:t xml:space="preserve">Какие документы представить </w:t>
        </w:r>
      </w:hyperlink>
    </w:p>
    <w:p>
      <w:pPr>
        <w:pStyle w:val="Style15"/>
        <w:rPr/>
      </w:pPr>
      <w:r>
        <w:rPr/>
        <w:t>К заявлению о назначении государственной пенсии по инвалидности представляются:</w:t>
      </w:r>
    </w:p>
    <w:p>
      <w:pPr>
        <w:pStyle w:val="Style15"/>
        <w:numPr>
          <w:ilvl w:val="0"/>
          <w:numId w:val="7"/>
        </w:numPr>
        <w:tabs>
          <w:tab w:val="left" w:pos="0" w:leader="none"/>
        </w:tabs>
        <w:ind w:left="707" w:hanging="283"/>
        <w:rPr/>
      </w:pPr>
      <w:r>
        <w:rPr/>
        <w:t>документ, удостоверяющий личность (например, паспорт гражданина Российской Федерации , вид на жительство иностранного гражданина (лица без гражданства, др.);</w:t>
      </w:r>
    </w:p>
    <w:p>
      <w:pPr>
        <w:pStyle w:val="Style15"/>
        <w:numPr>
          <w:ilvl w:val="0"/>
          <w:numId w:val="7"/>
        </w:numPr>
        <w:tabs>
          <w:tab w:val="left" w:pos="0" w:leader="none"/>
        </w:tabs>
        <w:ind w:left="707" w:hanging="283"/>
        <w:rPr/>
      </w:pPr>
      <w:r>
        <w:rPr/>
        <w:t xml:space="preserve">документы в зависимости от категории гражданина, обратившегося за указанной пенсией. </w:t>
      </w:r>
    </w:p>
    <w:p>
      <w:pPr>
        <w:pStyle w:val="Style15"/>
        <w:rPr/>
      </w:pPr>
      <w:hyperlink r:id="rId6">
        <w:r>
          <w:rPr>
            <w:rStyle w:val="Style11"/>
          </w:rPr>
          <w:t>Бланк заявления на назначение пенсии по государственному пенсионному обеспечению по инвалидности</w:t>
        </w:r>
      </w:hyperlink>
    </w:p>
    <w:p>
      <w:pPr>
        <w:pStyle w:val="Style15"/>
        <w:rPr/>
      </w:pPr>
      <w:hyperlink r:id="rId7">
        <w:r>
          <w:rPr>
            <w:rStyle w:val="Style11"/>
          </w:rPr>
          <w:t>Правила заполнения заявления о назначении государственной пенсии по инвалидности</w:t>
        </w:r>
      </w:hyperlink>
    </w:p>
    <w:p>
      <w:pPr>
        <w:pStyle w:val="3"/>
        <w:numPr>
          <w:ilvl w:val="2"/>
          <w:numId w:val="1"/>
        </w:numPr>
        <w:rPr/>
      </w:pPr>
      <w:hyperlink r:id="rId8">
        <w:r>
          <w:rPr>
            <w:rStyle w:val="Style11"/>
          </w:rPr>
          <w:t xml:space="preserve">Условия назначения </w:t>
        </w:r>
      </w:hyperlink>
    </w:p>
    <w:p>
      <w:pPr>
        <w:pStyle w:val="Style15"/>
        <w:rPr/>
      </w:pPr>
      <w:r>
        <w:rPr>
          <w:rStyle w:val="Style12"/>
        </w:rPr>
        <w:t>Условия назначения пенсии по государственному пенсионному обеспечению по инвалидности.</w:t>
      </w:r>
    </w:p>
    <w:p>
      <w:pPr>
        <w:pStyle w:val="Style15"/>
        <w:rPr/>
      </w:pPr>
      <w:r>
        <w:rPr>
          <w:u w:val="single"/>
        </w:rPr>
        <w:t>Для военнослужащих, проходивших военную службу по призыву в качестве солдат, матросов, сержантов и старшин:</w:t>
      </w:r>
    </w:p>
    <w:p>
      <w:pPr>
        <w:pStyle w:val="Style15"/>
        <w:numPr>
          <w:ilvl w:val="0"/>
          <w:numId w:val="8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наступление инвалидности в период прохождения военной службы по призыву. </w:t>
      </w:r>
    </w:p>
    <w:p>
      <w:pPr>
        <w:pStyle w:val="Style15"/>
        <w:numPr>
          <w:ilvl w:val="0"/>
          <w:numId w:val="8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наступление инвалидности не позднее трех месяцев после увольнения с военной службы. </w:t>
      </w:r>
    </w:p>
    <w:p>
      <w:pPr>
        <w:pStyle w:val="Style15"/>
        <w:numPr>
          <w:ilvl w:val="0"/>
          <w:numId w:val="8"/>
        </w:numPr>
        <w:tabs>
          <w:tab w:val="left" w:pos="0" w:leader="none"/>
        </w:tabs>
        <w:ind w:left="707" w:hanging="283"/>
        <w:rPr/>
      </w:pPr>
      <w:r>
        <w:rPr/>
        <w:t xml:space="preserve">наступление инвалидности позднее трех месяце после увольнения с военной службы, но вследствие ранения, контузии, увечья или заболевания, которые были получены в период прохождения военной службы. </w:t>
      </w:r>
    </w:p>
    <w:p>
      <w:pPr>
        <w:pStyle w:val="Style15"/>
        <w:rPr/>
      </w:pPr>
      <w:r>
        <w:rPr>
          <w:u w:val="single"/>
        </w:rPr>
        <w:t>Для граждан, пострадавших в результате радиационных или техногенных катастроф:</w:t>
      </w:r>
    </w:p>
    <w:p>
      <w:pPr>
        <w:pStyle w:val="Style15"/>
        <w:numPr>
          <w:ilvl w:val="0"/>
          <w:numId w:val="9"/>
        </w:numPr>
        <w:tabs>
          <w:tab w:val="left" w:pos="0" w:leader="none"/>
        </w:tabs>
        <w:ind w:left="707" w:hanging="283"/>
        <w:rPr/>
      </w:pPr>
      <w:r>
        <w:rPr/>
        <w:t>признание гражданина инвалидом (</w:t>
      </w:r>
      <w:r>
        <w:rPr>
          <w:rStyle w:val="Style13"/>
        </w:rPr>
        <w:t>вследствие чернобыльской катастрофы или  вследствие других радиационных или техногенных катастроф)</w:t>
      </w:r>
      <w:r>
        <w:rPr/>
        <w:t xml:space="preserve"> и установление группы инвалидности; </w:t>
      </w:r>
    </w:p>
    <w:p>
      <w:pPr>
        <w:pStyle w:val="Style15"/>
        <w:numPr>
          <w:ilvl w:val="0"/>
          <w:numId w:val="10"/>
        </w:numPr>
        <w:tabs>
          <w:tab w:val="left" w:pos="0" w:leader="none"/>
        </w:tabs>
        <w:ind w:left="707" w:hanging="283"/>
        <w:rPr/>
      </w:pPr>
      <w:r>
        <w:rPr/>
        <w:t xml:space="preserve">наличие хотя бы одного дня трудового стажа. </w:t>
      </w:r>
    </w:p>
    <w:p>
      <w:pPr>
        <w:pStyle w:val="Style15"/>
        <w:rPr/>
      </w:pPr>
      <w:r>
        <w:rPr/>
        <w:t>Граждане, ставшие инвалидами вследствие катастрофы на ЧАЭС, вместо пенсии по инвалидности могут получать пенсию по старости.</w:t>
      </w:r>
    </w:p>
    <w:p>
      <w:pPr>
        <w:pStyle w:val="Style15"/>
        <w:rPr/>
      </w:pPr>
      <w:r>
        <w:rPr>
          <w:u w:val="single"/>
        </w:rPr>
        <w:t>Для участников Великой Отечественной войны и граждан, награжденных знаком «Жителю блокадного Ленинграда»:</w:t>
      </w:r>
    </w:p>
    <w:p>
      <w:pPr>
        <w:pStyle w:val="Style15"/>
        <w:numPr>
          <w:ilvl w:val="0"/>
          <w:numId w:val="11"/>
        </w:numPr>
        <w:tabs>
          <w:tab w:val="left" w:pos="0" w:leader="none"/>
        </w:tabs>
        <w:ind w:left="707" w:hanging="283"/>
        <w:rPr/>
      </w:pPr>
      <w:r>
        <w:rPr/>
        <w:t xml:space="preserve">признание гражданина инвалидом любой их трёх групп, независимо от причины инвалидности. </w:t>
      </w:r>
    </w:p>
    <w:p>
      <w:pPr>
        <w:pStyle w:val="Style15"/>
        <w:rPr/>
      </w:pPr>
      <w:r>
        <w:rPr/>
        <w:t>В случае наступления инвалидности вследствие совершения противоправных деяний или умышленного нанесения ущерба своему здоровью участнику Отечественной войны и гражданину, награжденному знаком "Жителю блокадного Ленинграда", назначается социальная пенсия.</w:t>
      </w:r>
    </w:p>
    <w:p>
      <w:pPr>
        <w:pStyle w:val="Style15"/>
        <w:rPr/>
      </w:pPr>
      <w:r>
        <w:rPr>
          <w:u w:val="single"/>
        </w:rPr>
        <w:t>Для граждан из числа космонавтов:</w:t>
      </w:r>
    </w:p>
    <w:p>
      <w:pPr>
        <w:pStyle w:val="Style15"/>
        <w:rPr/>
      </w:pPr>
      <w:r>
        <w:rPr/>
        <w:t>Государственная пенсия по инвалидности назначается гражданам Российской Федерации из числа кандидатов в космонавты-испытатели, космонавты-исследователи, из числа космонавтов-испытателей, космонавтов-исследователей, инструкторов-космонавтов-испытателей, инструкторов-космонавтов-исследователей, ставших инвалидами вследствие ранения, контузии, увечья или заболевания, связанных с подготовкой или выполнением космического полета, независимо от продолжительности выслуги (работы).</w:t>
      </w:r>
    </w:p>
    <w:p>
      <w:pPr>
        <w:pStyle w:val="3"/>
        <w:numPr>
          <w:ilvl w:val="2"/>
          <w:numId w:val="1"/>
        </w:numPr>
        <w:rPr/>
      </w:pPr>
      <w:hyperlink r:id="rId9">
        <w:r>
          <w:rPr>
            <w:rStyle w:val="Style11"/>
          </w:rPr>
          <w:t>Размеры</w:t>
        </w:r>
      </w:hyperlink>
    </w:p>
    <w:p>
      <w:pPr>
        <w:pStyle w:val="Style15"/>
        <w:rPr/>
      </w:pPr>
      <w:r>
        <w:rPr/>
        <w:t>Размеры государственных пенсий по инвалидности военнослужащим</w:t>
      </w:r>
    </w:p>
    <w:p>
      <w:pPr>
        <w:pStyle w:val="Style15"/>
        <w:jc w:val="both"/>
        <w:rPr/>
      </w:pPr>
      <w:r>
        <w:rPr/>
        <w:t>Инвалидностью вследствие военной травмы считается инвалидность, наступившая вследствие ранения, контузии, увечья или заболевания, полученных при защите Родины, в том числе в связи с пребыванием на фронте, прохождением военной службы на территориях других государств, где велись боевые действия, или при исполнении иных обязанностей военной службы.</w:t>
      </w:r>
    </w:p>
    <w:p>
      <w:pPr>
        <w:pStyle w:val="Style15"/>
        <w:jc w:val="both"/>
        <w:rPr/>
      </w:pPr>
      <w:r>
        <w:rPr/>
        <w:t>Инвалидностью вследствие заболевания, полученного в период военной службы, считается инвалидность, наступившая вследствие увечья, полученного в результате несчастного случая, не связанного с исполнением обязанностей военной службы (служебных обязанностей), либо заболевания, не связанного с исполнением обязанностей военной службы (служебных обязанностей).</w:t>
      </w:r>
    </w:p>
    <w:tbl>
      <w:tblPr>
        <w:tblW w:w="9638" w:type="dxa"/>
        <w:jc w:val="left"/>
        <w:tblInd w:w="68" w:type="dxa"/>
        <w:tblBorders>
          <w:top w:val="single" w:sz="6" w:space="0" w:color="808080"/>
          <w:left w:val="single" w:sz="6" w:space="0" w:color="808080"/>
          <w:bottom w:val="single" w:sz="2" w:space="0" w:color="808080"/>
          <w:insideH w:val="single" w:sz="2" w:space="0" w:color="808080"/>
        </w:tblBorders>
        <w:tblCellMar>
          <w:top w:w="75" w:type="dxa"/>
          <w:left w:w="59" w:type="dxa"/>
          <w:bottom w:w="75" w:type="dxa"/>
          <w:right w:w="75" w:type="dxa"/>
        </w:tblCellMar>
      </w:tblPr>
      <w:tblGrid>
        <w:gridCol w:w="4735"/>
        <w:gridCol w:w="4902"/>
      </w:tblGrid>
      <w:tr>
        <w:trPr/>
        <w:tc>
          <w:tcPr>
            <w:tcW w:w="4735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insideH w:val="single" w:sz="2" w:space="0" w:color="808080"/>
            </w:tcBorders>
            <w:shd w:fill="auto" w:val="clear"/>
            <w:tcMar>
              <w:left w:w="59" w:type="dxa"/>
            </w:tcMar>
          </w:tcPr>
          <w:p>
            <w:pPr>
              <w:pStyle w:val="Style22"/>
              <w:spacing w:before="0" w:after="283"/>
              <w:jc w:val="center"/>
              <w:rPr/>
            </w:pPr>
            <w:r>
              <w:rPr>
                <w:rStyle w:val="Style12"/>
                <w:color w:val="000000"/>
              </w:rPr>
              <w:t xml:space="preserve">Категория получателей пенсии </w:t>
            </w:r>
          </w:p>
        </w:tc>
        <w:tc>
          <w:tcPr>
            <w:tcW w:w="490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  <w:insideH w:val="single" w:sz="2" w:space="0" w:color="808080"/>
              <w:insideV w:val="single" w:sz="6" w:space="0" w:color="808080"/>
            </w:tcBorders>
            <w:shd w:fill="auto" w:val="clear"/>
            <w:tcMar>
              <w:left w:w="71" w:type="dxa"/>
            </w:tcMar>
          </w:tcPr>
          <w:p>
            <w:pPr>
              <w:pStyle w:val="Style22"/>
              <w:spacing w:before="0" w:after="283"/>
              <w:jc w:val="center"/>
              <w:rPr/>
            </w:pPr>
            <w:r>
              <w:rPr>
                <w:rStyle w:val="Style12"/>
                <w:color w:val="000000"/>
              </w:rPr>
              <w:t xml:space="preserve">Размер пенсии </w:t>
            </w:r>
          </w:p>
        </w:tc>
      </w:tr>
      <w:tr>
        <w:trPr/>
        <w:tc>
          <w:tcPr>
            <w:tcW w:w="9637" w:type="dxa"/>
            <w:gridSpan w:val="2"/>
            <w:tcBorders>
              <w:top w:val="single" w:sz="2" w:space="0" w:color="808080"/>
              <w:left w:val="single" w:sz="6" w:space="0" w:color="808080"/>
              <w:bottom w:val="single" w:sz="2" w:space="0" w:color="808080"/>
              <w:right w:val="single" w:sz="6" w:space="0" w:color="808080"/>
              <w:insideH w:val="single" w:sz="2" w:space="0" w:color="808080"/>
              <w:insideV w:val="single" w:sz="6" w:space="0" w:color="808080"/>
            </w:tcBorders>
            <w:shd w:fill="auto" w:val="clear"/>
            <w:tcMar>
              <w:left w:w="59" w:type="dxa"/>
            </w:tcMar>
          </w:tcPr>
          <w:p>
            <w:pPr>
              <w:pStyle w:val="Style22"/>
              <w:spacing w:before="0" w:after="283"/>
              <w:jc w:val="center"/>
              <w:rPr/>
            </w:pPr>
            <w:r>
              <w:rPr>
                <w:color w:val="000000"/>
              </w:rPr>
              <w:t xml:space="preserve">ИНВАЛИДЫ ВСЛЕДСТВИЕ ВОЕННОЙ ТРАВМЫ </w:t>
            </w:r>
          </w:p>
        </w:tc>
      </w:tr>
      <w:tr>
        <w:trPr/>
        <w:tc>
          <w:tcPr>
            <w:tcW w:w="4735" w:type="dxa"/>
            <w:tcBorders>
              <w:top w:val="single" w:sz="2" w:space="0" w:color="808080"/>
              <w:left w:val="single" w:sz="6" w:space="0" w:color="808080"/>
              <w:bottom w:val="single" w:sz="2" w:space="0" w:color="808080"/>
              <w:insideH w:val="single" w:sz="2" w:space="0" w:color="808080"/>
            </w:tcBorders>
            <w:shd w:fill="auto" w:val="clear"/>
            <w:tcMar>
              <w:left w:w="59" w:type="dxa"/>
            </w:tcMar>
          </w:tcPr>
          <w:p>
            <w:pPr>
              <w:pStyle w:val="Style22"/>
              <w:spacing w:before="0" w:after="283"/>
              <w:rPr/>
            </w:pPr>
            <w:r>
              <w:rPr>
                <w:color w:val="000000"/>
              </w:rPr>
              <w:t>Инвалиды 1 группы</w:t>
            </w:r>
          </w:p>
          <w:p>
            <w:pPr>
              <w:pStyle w:val="Style22"/>
              <w:spacing w:before="0" w:after="283"/>
              <w:rPr/>
            </w:pPr>
            <w:r>
              <w:rPr>
                <w:color w:val="000000"/>
              </w:rPr>
              <w:t>Инвалиды 2 группы</w:t>
            </w:r>
          </w:p>
          <w:p>
            <w:pPr>
              <w:pStyle w:val="Style22"/>
              <w:spacing w:before="0" w:after="283"/>
              <w:rPr/>
            </w:pPr>
            <w:r>
              <w:rPr>
                <w:color w:val="000000"/>
              </w:rPr>
              <w:t>Инвалиды 3 группы</w:t>
            </w:r>
          </w:p>
        </w:tc>
        <w:tc>
          <w:tcPr>
            <w:tcW w:w="490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6" w:space="0" w:color="808080"/>
              <w:insideH w:val="single" w:sz="2" w:space="0" w:color="808080"/>
              <w:insideV w:val="single" w:sz="6" w:space="0" w:color="808080"/>
            </w:tcBorders>
            <w:shd w:fill="auto" w:val="clear"/>
            <w:tcMar>
              <w:left w:w="71" w:type="dxa"/>
            </w:tcMar>
          </w:tcPr>
          <w:p>
            <w:pPr>
              <w:pStyle w:val="Style22"/>
              <w:spacing w:before="0" w:after="283"/>
              <w:rPr/>
            </w:pPr>
            <w:r>
              <w:rPr>
                <w:color w:val="000000"/>
              </w:rPr>
              <w:t xml:space="preserve">300% размера </w:t>
            </w:r>
            <w:r>
              <w:rPr>
                <w:rStyle w:val="Style12"/>
                <w:color w:val="000000"/>
              </w:rPr>
              <w:t>социальной пенсии</w:t>
            </w:r>
          </w:p>
          <w:p>
            <w:pPr>
              <w:pStyle w:val="Style22"/>
              <w:spacing w:before="0" w:after="283"/>
              <w:rPr/>
            </w:pPr>
            <w:r>
              <w:rPr>
                <w:color w:val="000000"/>
              </w:rPr>
              <w:t xml:space="preserve">250% размера </w:t>
            </w:r>
            <w:r>
              <w:rPr>
                <w:rStyle w:val="Style12"/>
                <w:color w:val="000000"/>
              </w:rPr>
              <w:t>социальной пенсии</w:t>
            </w:r>
          </w:p>
          <w:p>
            <w:pPr>
              <w:pStyle w:val="Style22"/>
              <w:spacing w:before="0" w:after="283"/>
              <w:rPr/>
            </w:pPr>
            <w:r>
              <w:rPr>
                <w:color w:val="000000"/>
              </w:rPr>
              <w:t xml:space="preserve">175% размера </w:t>
            </w:r>
            <w:r>
              <w:rPr>
                <w:rStyle w:val="Style12"/>
                <w:color w:val="000000"/>
              </w:rPr>
              <w:t>социальной пенсии</w:t>
            </w:r>
          </w:p>
        </w:tc>
      </w:tr>
      <w:tr>
        <w:trPr/>
        <w:tc>
          <w:tcPr>
            <w:tcW w:w="9637" w:type="dxa"/>
            <w:gridSpan w:val="2"/>
            <w:tcBorders>
              <w:top w:val="single" w:sz="2" w:space="0" w:color="808080"/>
              <w:left w:val="single" w:sz="6" w:space="0" w:color="808080"/>
              <w:bottom w:val="single" w:sz="2" w:space="0" w:color="808080"/>
              <w:right w:val="single" w:sz="6" w:space="0" w:color="808080"/>
              <w:insideH w:val="single" w:sz="2" w:space="0" w:color="808080"/>
              <w:insideV w:val="single" w:sz="6" w:space="0" w:color="808080"/>
            </w:tcBorders>
            <w:shd w:fill="auto" w:val="clear"/>
            <w:tcMar>
              <w:left w:w="59" w:type="dxa"/>
            </w:tcMar>
          </w:tcPr>
          <w:p>
            <w:pPr>
              <w:pStyle w:val="Style22"/>
              <w:spacing w:before="0" w:after="283"/>
              <w:jc w:val="center"/>
              <w:rPr/>
            </w:pPr>
            <w:r>
              <w:rPr>
                <w:color w:val="000000"/>
              </w:rPr>
              <w:t>ИНВАЛИДЫ ВСЛЕДСТВИЕ ЗАБОЛЕВАНИЯ, ПОЛУЧЕННОГО В ПЕРИОД ВОЕННОЙ СЛУЖБЫ</w:t>
            </w:r>
          </w:p>
        </w:tc>
      </w:tr>
      <w:tr>
        <w:trPr/>
        <w:tc>
          <w:tcPr>
            <w:tcW w:w="47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insideH w:val="single" w:sz="6" w:space="0" w:color="808080"/>
            </w:tcBorders>
            <w:shd w:fill="auto" w:val="clear"/>
            <w:tcMar>
              <w:left w:w="59" w:type="dxa"/>
            </w:tcMar>
          </w:tcPr>
          <w:p>
            <w:pPr>
              <w:pStyle w:val="Style22"/>
              <w:spacing w:before="0" w:after="283"/>
              <w:rPr/>
            </w:pPr>
            <w:r>
              <w:rPr>
                <w:color w:val="000000"/>
              </w:rPr>
              <w:t>Инвалиды 1 группы</w:t>
            </w:r>
          </w:p>
          <w:p>
            <w:pPr>
              <w:pStyle w:val="Style22"/>
              <w:spacing w:before="0" w:after="283"/>
              <w:rPr/>
            </w:pPr>
            <w:r>
              <w:rPr>
                <w:color w:val="000000"/>
              </w:rPr>
              <w:t>Инвалиды 2 группы</w:t>
            </w:r>
          </w:p>
          <w:p>
            <w:pPr>
              <w:pStyle w:val="Style22"/>
              <w:spacing w:before="0" w:after="283"/>
              <w:rPr/>
            </w:pPr>
            <w:r>
              <w:rPr>
                <w:color w:val="000000"/>
              </w:rPr>
              <w:t>Инвалиды 3 группы</w:t>
            </w:r>
          </w:p>
        </w:tc>
        <w:tc>
          <w:tcPr>
            <w:tcW w:w="4902" w:type="dxa"/>
            <w:tcBorders>
              <w:top w:val="single" w:sz="6" w:space="0" w:color="808080"/>
              <w:left w:val="single" w:sz="2" w:space="0" w:color="808080"/>
              <w:bottom w:val="single" w:sz="6" w:space="0" w:color="808080"/>
              <w:right w:val="single" w:sz="6" w:space="0" w:color="808080"/>
              <w:insideH w:val="single" w:sz="6" w:space="0" w:color="808080"/>
              <w:insideV w:val="single" w:sz="6" w:space="0" w:color="808080"/>
            </w:tcBorders>
            <w:shd w:fill="auto" w:val="clear"/>
            <w:tcMar>
              <w:left w:w="71" w:type="dxa"/>
            </w:tcMar>
          </w:tcPr>
          <w:p>
            <w:pPr>
              <w:pStyle w:val="Style22"/>
              <w:spacing w:before="0" w:after="283"/>
              <w:rPr/>
            </w:pPr>
            <w:r>
              <w:rPr>
                <w:color w:val="000000"/>
              </w:rPr>
              <w:t xml:space="preserve">250% размера </w:t>
            </w:r>
            <w:r>
              <w:rPr>
                <w:rStyle w:val="Style12"/>
                <w:color w:val="000000"/>
              </w:rPr>
              <w:t>социальной пенсии</w:t>
            </w:r>
          </w:p>
          <w:p>
            <w:pPr>
              <w:pStyle w:val="Style22"/>
              <w:spacing w:before="0" w:after="283"/>
              <w:rPr/>
            </w:pPr>
            <w:r>
              <w:rPr>
                <w:color w:val="000000"/>
              </w:rPr>
              <w:t xml:space="preserve">200% размера </w:t>
            </w:r>
            <w:r>
              <w:rPr>
                <w:rStyle w:val="Style12"/>
                <w:color w:val="000000"/>
              </w:rPr>
              <w:t>социальной пенсии</w:t>
            </w:r>
          </w:p>
          <w:p>
            <w:pPr>
              <w:pStyle w:val="Style22"/>
              <w:spacing w:before="0" w:after="283"/>
              <w:rPr/>
            </w:pPr>
            <w:r>
              <w:rPr>
                <w:color w:val="000000"/>
              </w:rPr>
              <w:t xml:space="preserve">150% размера </w:t>
            </w:r>
            <w:r>
              <w:rPr>
                <w:rStyle w:val="Style12"/>
                <w:color w:val="000000"/>
              </w:rPr>
              <w:t>социальной пенсии</w:t>
            </w:r>
          </w:p>
        </w:tc>
      </w:tr>
    </w:tbl>
    <w:p>
      <w:pPr>
        <w:pStyle w:val="Style15"/>
        <w:jc w:val="both"/>
        <w:rPr/>
      </w:pPr>
      <w:r>
        <w:rPr>
          <w:color w:val="000000"/>
        </w:rPr>
        <w:t xml:space="preserve">Инвалидам, на иждивении которых находятся </w:t>
      </w:r>
      <w:r>
        <w:rPr>
          <w:rStyle w:val="Style12"/>
          <w:color w:val="000000"/>
        </w:rPr>
        <w:t>нетрудоспособные члены семьи</w:t>
      </w:r>
      <w:r>
        <w:rPr>
          <w:color w:val="000000"/>
        </w:rPr>
        <w:t xml:space="preserve"> (указанные в подпунктах 1, 3 - 5 пункта 3 статьи 8 Федерального закона от 15 декабря 2001 года N 166-ФЗ "О государственном пенсионном обеспечении в Российской Федерации"), размер пенсии по инвалидности определяется исходя из размера социальной пенсии, увеличенного на </w:t>
      </w:r>
      <w:r>
        <w:rPr>
          <w:rStyle w:val="Style12"/>
          <w:color w:val="000000"/>
        </w:rPr>
        <w:t>1726 рублей 75 копеек</w:t>
      </w:r>
      <w:r>
        <w:rPr>
          <w:color w:val="000000"/>
        </w:rPr>
        <w:t> в месяц на каждого нетрудоспособного члена семьи, но не более чем на трех нетрудоспособных членов семьи.</w:t>
      </w:r>
    </w:p>
    <w:p>
      <w:pPr>
        <w:pStyle w:val="Style15"/>
        <w:rPr/>
      </w:pPr>
      <w:r>
        <w:rPr/>
        <w:t>Размеры государственных пенсий по инвалидности гражданам, пострадавшим в результате радиационных или техногенных катастроф</w:t>
      </w:r>
    </w:p>
    <w:tbl>
      <w:tblPr>
        <w:tblW w:w="9638" w:type="dxa"/>
        <w:jc w:val="left"/>
        <w:tblInd w:w="68" w:type="dxa"/>
        <w:tblBorders>
          <w:top w:val="single" w:sz="6" w:space="0" w:color="808080"/>
          <w:left w:val="single" w:sz="6" w:space="0" w:color="808080"/>
          <w:bottom w:val="single" w:sz="2" w:space="0" w:color="808080"/>
          <w:insideH w:val="single" w:sz="2" w:space="0" w:color="808080"/>
        </w:tblBorders>
        <w:tblCellMar>
          <w:top w:w="75" w:type="dxa"/>
          <w:left w:w="59" w:type="dxa"/>
          <w:bottom w:w="75" w:type="dxa"/>
          <w:right w:w="75" w:type="dxa"/>
        </w:tblCellMar>
      </w:tblPr>
      <w:tblGrid>
        <w:gridCol w:w="3167"/>
        <w:gridCol w:w="6470"/>
      </w:tblGrid>
      <w:tr>
        <w:trPr/>
        <w:tc>
          <w:tcPr>
            <w:tcW w:w="3167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insideH w:val="single" w:sz="2" w:space="0" w:color="808080"/>
            </w:tcBorders>
            <w:shd w:fill="auto" w:val="clear"/>
            <w:tcMar>
              <w:left w:w="59" w:type="dxa"/>
            </w:tcMar>
          </w:tcPr>
          <w:p>
            <w:pPr>
              <w:pStyle w:val="Style22"/>
              <w:spacing w:before="0" w:after="283"/>
              <w:jc w:val="center"/>
              <w:rPr/>
            </w:pPr>
            <w:r>
              <w:rPr>
                <w:rStyle w:val="Style12"/>
                <w:color w:val="000000"/>
              </w:rPr>
              <w:t>Категория получателей пенсии</w:t>
            </w:r>
          </w:p>
        </w:tc>
        <w:tc>
          <w:tcPr>
            <w:tcW w:w="647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  <w:insideH w:val="single" w:sz="2" w:space="0" w:color="808080"/>
              <w:insideV w:val="single" w:sz="6" w:space="0" w:color="808080"/>
            </w:tcBorders>
            <w:shd w:fill="auto" w:val="clear"/>
            <w:tcMar>
              <w:left w:w="71" w:type="dxa"/>
            </w:tcMar>
          </w:tcPr>
          <w:p>
            <w:pPr>
              <w:pStyle w:val="Style22"/>
              <w:spacing w:before="0" w:after="283"/>
              <w:jc w:val="center"/>
              <w:rPr/>
            </w:pPr>
            <w:r>
              <w:rPr>
                <w:rStyle w:val="Style12"/>
                <w:color w:val="000000"/>
              </w:rPr>
              <w:t>Размер пенсии</w:t>
            </w:r>
          </w:p>
        </w:tc>
      </w:tr>
      <w:tr>
        <w:trPr/>
        <w:tc>
          <w:tcPr>
            <w:tcW w:w="3167" w:type="dxa"/>
            <w:tcBorders>
              <w:top w:val="single" w:sz="2" w:space="0" w:color="808080"/>
              <w:left w:val="single" w:sz="6" w:space="0" w:color="808080"/>
              <w:bottom w:val="single" w:sz="2" w:space="0" w:color="808080"/>
              <w:insideH w:val="single" w:sz="2" w:space="0" w:color="808080"/>
            </w:tcBorders>
            <w:shd w:fill="auto" w:val="clear"/>
            <w:tcMar>
              <w:left w:w="59" w:type="dxa"/>
            </w:tcMar>
          </w:tcPr>
          <w:p>
            <w:pPr>
              <w:pStyle w:val="Style22"/>
              <w:spacing w:before="0" w:after="283"/>
              <w:rPr/>
            </w:pPr>
            <w:r>
              <w:rPr>
                <w:color w:val="000000"/>
              </w:rPr>
              <w:t>Инвалиды 1 группы</w:t>
            </w:r>
          </w:p>
        </w:tc>
        <w:tc>
          <w:tcPr>
            <w:tcW w:w="647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6" w:space="0" w:color="808080"/>
              <w:insideH w:val="single" w:sz="2" w:space="0" w:color="808080"/>
              <w:insideV w:val="single" w:sz="6" w:space="0" w:color="808080"/>
            </w:tcBorders>
            <w:shd w:fill="auto" w:val="clear"/>
            <w:tcMar>
              <w:left w:w="71" w:type="dxa"/>
            </w:tcMar>
          </w:tcPr>
          <w:p>
            <w:pPr>
              <w:pStyle w:val="Style22"/>
              <w:spacing w:before="0" w:after="283"/>
              <w:rPr/>
            </w:pPr>
            <w:r>
              <w:rPr>
                <w:color w:val="000000"/>
              </w:rPr>
              <w:t xml:space="preserve">250% размера </w:t>
            </w:r>
            <w:r>
              <w:rPr>
                <w:rStyle w:val="Style12"/>
                <w:color w:val="000000"/>
              </w:rPr>
              <w:t>социальной пенсии</w:t>
            </w:r>
          </w:p>
        </w:tc>
      </w:tr>
      <w:tr>
        <w:trPr/>
        <w:tc>
          <w:tcPr>
            <w:tcW w:w="3167" w:type="dxa"/>
            <w:tcBorders>
              <w:top w:val="single" w:sz="2" w:space="0" w:color="808080"/>
              <w:left w:val="single" w:sz="6" w:space="0" w:color="808080"/>
              <w:bottom w:val="single" w:sz="2" w:space="0" w:color="808080"/>
              <w:insideH w:val="single" w:sz="2" w:space="0" w:color="808080"/>
            </w:tcBorders>
            <w:shd w:fill="auto" w:val="clear"/>
            <w:tcMar>
              <w:left w:w="59" w:type="dxa"/>
            </w:tcMar>
          </w:tcPr>
          <w:p>
            <w:pPr>
              <w:pStyle w:val="Style22"/>
              <w:spacing w:before="0" w:after="283"/>
              <w:rPr/>
            </w:pPr>
            <w:r>
              <w:rPr>
                <w:color w:val="000000"/>
              </w:rPr>
              <w:t>Инвалиды 2 группы</w:t>
            </w:r>
          </w:p>
        </w:tc>
        <w:tc>
          <w:tcPr>
            <w:tcW w:w="647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6" w:space="0" w:color="808080"/>
              <w:insideH w:val="single" w:sz="2" w:space="0" w:color="808080"/>
              <w:insideV w:val="single" w:sz="6" w:space="0" w:color="808080"/>
            </w:tcBorders>
            <w:shd w:fill="auto" w:val="clear"/>
            <w:tcMar>
              <w:left w:w="71" w:type="dxa"/>
            </w:tcMar>
          </w:tcPr>
          <w:p>
            <w:pPr>
              <w:pStyle w:val="Style22"/>
              <w:spacing w:before="0" w:after="283"/>
              <w:rPr/>
            </w:pPr>
            <w:r>
              <w:rPr>
                <w:color w:val="000000"/>
              </w:rPr>
              <w:t xml:space="preserve">250% размера </w:t>
            </w:r>
            <w:r>
              <w:rPr>
                <w:rStyle w:val="Style12"/>
                <w:color w:val="000000"/>
              </w:rPr>
              <w:t>социальной пенсии</w:t>
            </w:r>
          </w:p>
        </w:tc>
      </w:tr>
      <w:tr>
        <w:trPr/>
        <w:tc>
          <w:tcPr>
            <w:tcW w:w="31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insideH w:val="single" w:sz="6" w:space="0" w:color="808080"/>
            </w:tcBorders>
            <w:shd w:fill="auto" w:val="clear"/>
            <w:tcMar>
              <w:left w:w="59" w:type="dxa"/>
            </w:tcMar>
          </w:tcPr>
          <w:p>
            <w:pPr>
              <w:pStyle w:val="Style22"/>
              <w:spacing w:before="0" w:after="283"/>
              <w:rPr/>
            </w:pPr>
            <w:r>
              <w:rPr>
                <w:color w:val="000000"/>
              </w:rPr>
              <w:t>Инвалиды 3 группы</w:t>
            </w:r>
          </w:p>
        </w:tc>
        <w:tc>
          <w:tcPr>
            <w:tcW w:w="6470" w:type="dxa"/>
            <w:tcBorders>
              <w:top w:val="single" w:sz="6" w:space="0" w:color="808080"/>
              <w:left w:val="single" w:sz="2" w:space="0" w:color="808080"/>
              <w:bottom w:val="single" w:sz="6" w:space="0" w:color="808080"/>
              <w:right w:val="single" w:sz="6" w:space="0" w:color="808080"/>
              <w:insideH w:val="single" w:sz="6" w:space="0" w:color="808080"/>
              <w:insideV w:val="single" w:sz="6" w:space="0" w:color="808080"/>
            </w:tcBorders>
            <w:shd w:fill="auto" w:val="clear"/>
            <w:tcMar>
              <w:left w:w="71" w:type="dxa"/>
            </w:tcMar>
          </w:tcPr>
          <w:p>
            <w:pPr>
              <w:pStyle w:val="Style22"/>
              <w:spacing w:before="0" w:after="283"/>
              <w:rPr/>
            </w:pPr>
            <w:r>
              <w:rPr>
                <w:color w:val="000000"/>
              </w:rPr>
              <w:t xml:space="preserve">250% размера </w:t>
            </w:r>
            <w:r>
              <w:rPr>
                <w:rStyle w:val="Style12"/>
                <w:color w:val="000000"/>
              </w:rPr>
              <w:t>социальной пенсии</w:t>
            </w:r>
            <w:r>
              <w:rPr>
                <w:color w:val="000000"/>
              </w:rPr>
              <w:t xml:space="preserve"> — 125% размера </w:t>
            </w:r>
            <w:r>
              <w:rPr>
                <w:rStyle w:val="Style12"/>
                <w:color w:val="000000"/>
              </w:rPr>
              <w:t>социальной пенсии</w:t>
            </w:r>
          </w:p>
        </w:tc>
      </w:tr>
    </w:tbl>
    <w:p>
      <w:pPr>
        <w:pStyle w:val="Style15"/>
        <w:jc w:val="both"/>
        <w:rPr/>
      </w:pPr>
      <w:r>
        <w:rPr/>
        <w:t>Инвалидам 1 и 2 группы, на иждивении которых находятся нетрудоспособные члены семьи, указанные в пунктах 1, 3 и 4 части 2 и части 3 статьи 10 Федерального закона "О страховых пенсиях", размер пенсии по инвалидности определяется исходя из соответствующего размера социальной пенсии, увеличенного на </w:t>
      </w:r>
      <w:r>
        <w:rPr>
          <w:rStyle w:val="Style12"/>
          <w:color w:val="000000"/>
        </w:rPr>
        <w:t>1726 рублей 75 копеек</w:t>
      </w:r>
      <w:r>
        <w:rPr/>
        <w:t xml:space="preserve"> в месяц на каждого нетрудоспособного члена семьи, но не более чем на трех нетрудоспособных членов семьи.</w:t>
        <w:br/>
        <w:br/>
        <w:t xml:space="preserve">Инвалидам 3 группы, на иждивении которых находятся нетрудоспособные члены семьи, указанные пунктах 1, 3 и 4 части 2 и части 3 статьи 10 Федерального закона "О страховых пенсиях", размер пенсии по инвалидности определяется в размере, равном разнице между 250 процентами размера социальной пенсии, увеличенного на </w:t>
      </w:r>
      <w:r>
        <w:rPr>
          <w:rStyle w:val="Style12"/>
          <w:color w:val="000000"/>
        </w:rPr>
        <w:t>1726 рублей 75 копеек</w:t>
      </w:r>
      <w:r>
        <w:rPr/>
        <w:t xml:space="preserve"> в месяц на каждого нетрудоспособного члена семьи, но не более чем на трех нетрудоспособных членов семьи, и 125 процентами размера указанной социальной пенсии.</w:t>
      </w:r>
    </w:p>
    <w:p>
      <w:pPr>
        <w:pStyle w:val="Style15"/>
        <w:rPr/>
      </w:pPr>
      <w:r>
        <w:rPr/>
        <w:t>Размеры государственных пенсий по инвалидности участникам Великой Отечественной войны и гражданам, награжденным знаком “Жителю блокадного Ленинграда”</w:t>
      </w:r>
    </w:p>
    <w:p>
      <w:pPr>
        <w:pStyle w:val="Style15"/>
        <w:rPr/>
      </w:pPr>
      <w:r>
        <w:rPr/>
        <w:t> </w:t>
      </w:r>
    </w:p>
    <w:tbl>
      <w:tblPr>
        <w:tblW w:w="9303" w:type="dxa"/>
        <w:jc w:val="left"/>
        <w:tblInd w:w="68" w:type="dxa"/>
        <w:tblBorders>
          <w:top w:val="single" w:sz="6" w:space="0" w:color="808080"/>
          <w:left w:val="single" w:sz="6" w:space="0" w:color="808080"/>
          <w:bottom w:val="single" w:sz="2" w:space="0" w:color="808080"/>
          <w:insideH w:val="single" w:sz="2" w:space="0" w:color="808080"/>
        </w:tblBorders>
        <w:tblCellMar>
          <w:top w:w="75" w:type="dxa"/>
          <w:left w:w="59" w:type="dxa"/>
          <w:bottom w:w="75" w:type="dxa"/>
          <w:right w:w="75" w:type="dxa"/>
        </w:tblCellMar>
      </w:tblPr>
      <w:tblGrid>
        <w:gridCol w:w="4524"/>
        <w:gridCol w:w="4778"/>
      </w:tblGrid>
      <w:tr>
        <w:trPr/>
        <w:tc>
          <w:tcPr>
            <w:tcW w:w="4524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insideH w:val="single" w:sz="2" w:space="0" w:color="808080"/>
            </w:tcBorders>
            <w:shd w:fill="auto" w:val="clear"/>
            <w:tcMar>
              <w:left w:w="59" w:type="dxa"/>
            </w:tcMar>
          </w:tcPr>
          <w:p>
            <w:pPr>
              <w:pStyle w:val="Style22"/>
              <w:spacing w:before="0" w:after="283"/>
              <w:jc w:val="center"/>
              <w:rPr/>
            </w:pPr>
            <w:r>
              <w:rPr>
                <w:rStyle w:val="Style12"/>
                <w:color w:val="000000"/>
              </w:rPr>
              <w:t>Категория получателей пенсии</w:t>
            </w:r>
          </w:p>
        </w:tc>
        <w:tc>
          <w:tcPr>
            <w:tcW w:w="4778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  <w:insideH w:val="single" w:sz="2" w:space="0" w:color="808080"/>
              <w:insideV w:val="single" w:sz="6" w:space="0" w:color="808080"/>
            </w:tcBorders>
            <w:shd w:fill="auto" w:val="clear"/>
            <w:tcMar>
              <w:left w:w="71" w:type="dxa"/>
            </w:tcMar>
          </w:tcPr>
          <w:p>
            <w:pPr>
              <w:pStyle w:val="Style22"/>
              <w:spacing w:before="0" w:after="283"/>
              <w:jc w:val="center"/>
              <w:rPr/>
            </w:pPr>
            <w:r>
              <w:rPr>
                <w:rStyle w:val="Style12"/>
                <w:color w:val="000000"/>
              </w:rPr>
              <w:t>Размер пенсии</w:t>
            </w:r>
          </w:p>
        </w:tc>
      </w:tr>
      <w:tr>
        <w:trPr/>
        <w:tc>
          <w:tcPr>
            <w:tcW w:w="9302" w:type="dxa"/>
            <w:gridSpan w:val="2"/>
            <w:tcBorders>
              <w:top w:val="single" w:sz="2" w:space="0" w:color="808080"/>
              <w:left w:val="single" w:sz="6" w:space="0" w:color="808080"/>
              <w:bottom w:val="single" w:sz="2" w:space="0" w:color="808080"/>
              <w:right w:val="single" w:sz="6" w:space="0" w:color="808080"/>
              <w:insideH w:val="single" w:sz="2" w:space="0" w:color="808080"/>
              <w:insideV w:val="single" w:sz="6" w:space="0" w:color="808080"/>
            </w:tcBorders>
            <w:shd w:fill="auto" w:val="clear"/>
            <w:tcMar>
              <w:left w:w="59" w:type="dxa"/>
            </w:tcMar>
            <w:vAlign w:val="center"/>
          </w:tcPr>
          <w:p>
            <w:pPr>
              <w:pStyle w:val="Style22"/>
              <w:spacing w:before="0" w:after="283"/>
              <w:jc w:val="center"/>
              <w:rPr/>
            </w:pPr>
            <w:r>
              <w:rPr>
                <w:color w:val="000000"/>
              </w:rPr>
              <w:t>УЧАСТНИКИ ВЕЛИКОЙ ОТЕЧЕСТВЕННОЙ ВОЙНЫ</w:t>
            </w:r>
          </w:p>
        </w:tc>
      </w:tr>
      <w:tr>
        <w:trPr/>
        <w:tc>
          <w:tcPr>
            <w:tcW w:w="4524" w:type="dxa"/>
            <w:tcBorders>
              <w:top w:val="single" w:sz="2" w:space="0" w:color="808080"/>
              <w:left w:val="single" w:sz="6" w:space="0" w:color="808080"/>
              <w:bottom w:val="single" w:sz="2" w:space="0" w:color="808080"/>
              <w:insideH w:val="single" w:sz="2" w:space="0" w:color="808080"/>
            </w:tcBorders>
            <w:shd w:fill="auto" w:val="clear"/>
            <w:tcMar>
              <w:left w:w="59" w:type="dxa"/>
            </w:tcMar>
          </w:tcPr>
          <w:p>
            <w:pPr>
              <w:pStyle w:val="Style22"/>
              <w:spacing w:before="0" w:after="283"/>
              <w:rPr/>
            </w:pPr>
            <w:r>
              <w:rPr>
                <w:color w:val="000000"/>
              </w:rPr>
              <w:t>Инвалиды 1 группы</w:t>
            </w:r>
          </w:p>
        </w:tc>
        <w:tc>
          <w:tcPr>
            <w:tcW w:w="477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6" w:space="0" w:color="808080"/>
              <w:insideH w:val="single" w:sz="2" w:space="0" w:color="808080"/>
              <w:insideV w:val="single" w:sz="6" w:space="0" w:color="808080"/>
            </w:tcBorders>
            <w:shd w:fill="auto" w:val="clear"/>
            <w:tcMar>
              <w:left w:w="71" w:type="dxa"/>
            </w:tcMar>
          </w:tcPr>
          <w:p>
            <w:pPr>
              <w:pStyle w:val="Style22"/>
              <w:spacing w:before="0" w:after="283"/>
              <w:rPr/>
            </w:pPr>
            <w:r>
              <w:rPr>
                <w:color w:val="000000"/>
              </w:rPr>
              <w:t xml:space="preserve">250% размера </w:t>
            </w:r>
            <w:r>
              <w:rPr>
                <w:rStyle w:val="Style12"/>
                <w:color w:val="000000"/>
              </w:rPr>
              <w:t>социальной пенсии</w:t>
            </w:r>
          </w:p>
        </w:tc>
      </w:tr>
      <w:tr>
        <w:trPr/>
        <w:tc>
          <w:tcPr>
            <w:tcW w:w="4524" w:type="dxa"/>
            <w:tcBorders>
              <w:top w:val="single" w:sz="2" w:space="0" w:color="808080"/>
              <w:left w:val="single" w:sz="6" w:space="0" w:color="808080"/>
              <w:bottom w:val="single" w:sz="2" w:space="0" w:color="808080"/>
              <w:insideH w:val="single" w:sz="2" w:space="0" w:color="808080"/>
            </w:tcBorders>
            <w:shd w:fill="auto" w:val="clear"/>
            <w:tcMar>
              <w:left w:w="59" w:type="dxa"/>
            </w:tcMar>
          </w:tcPr>
          <w:p>
            <w:pPr>
              <w:pStyle w:val="Style22"/>
              <w:spacing w:before="0" w:after="283"/>
              <w:rPr/>
            </w:pPr>
            <w:r>
              <w:rPr>
                <w:color w:val="000000"/>
              </w:rPr>
              <w:t>Инвалиды 2 группы</w:t>
            </w:r>
          </w:p>
        </w:tc>
        <w:tc>
          <w:tcPr>
            <w:tcW w:w="477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6" w:space="0" w:color="808080"/>
              <w:insideH w:val="single" w:sz="2" w:space="0" w:color="808080"/>
              <w:insideV w:val="single" w:sz="6" w:space="0" w:color="808080"/>
            </w:tcBorders>
            <w:shd w:fill="auto" w:val="clear"/>
            <w:tcMar>
              <w:left w:w="71" w:type="dxa"/>
            </w:tcMar>
          </w:tcPr>
          <w:p>
            <w:pPr>
              <w:pStyle w:val="Style22"/>
              <w:spacing w:before="0" w:after="283"/>
              <w:rPr/>
            </w:pPr>
            <w:r>
              <w:rPr>
                <w:color w:val="000000"/>
              </w:rPr>
              <w:t xml:space="preserve">200% размера </w:t>
            </w:r>
            <w:r>
              <w:rPr>
                <w:rStyle w:val="Style12"/>
                <w:color w:val="000000"/>
              </w:rPr>
              <w:t>социальной пенсии</w:t>
            </w:r>
          </w:p>
        </w:tc>
      </w:tr>
      <w:tr>
        <w:trPr/>
        <w:tc>
          <w:tcPr>
            <w:tcW w:w="4524" w:type="dxa"/>
            <w:tcBorders>
              <w:top w:val="single" w:sz="2" w:space="0" w:color="808080"/>
              <w:left w:val="single" w:sz="6" w:space="0" w:color="808080"/>
              <w:bottom w:val="single" w:sz="2" w:space="0" w:color="808080"/>
              <w:insideH w:val="single" w:sz="2" w:space="0" w:color="808080"/>
            </w:tcBorders>
            <w:shd w:fill="auto" w:val="clear"/>
            <w:tcMar>
              <w:left w:w="59" w:type="dxa"/>
            </w:tcMar>
          </w:tcPr>
          <w:p>
            <w:pPr>
              <w:pStyle w:val="Style22"/>
              <w:spacing w:before="0" w:after="283"/>
              <w:rPr/>
            </w:pPr>
            <w:r>
              <w:rPr>
                <w:color w:val="000000"/>
              </w:rPr>
              <w:t>Инвалиды 3 группы</w:t>
            </w:r>
          </w:p>
        </w:tc>
        <w:tc>
          <w:tcPr>
            <w:tcW w:w="477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6" w:space="0" w:color="808080"/>
              <w:insideH w:val="single" w:sz="2" w:space="0" w:color="808080"/>
              <w:insideV w:val="single" w:sz="6" w:space="0" w:color="808080"/>
            </w:tcBorders>
            <w:shd w:fill="auto" w:val="clear"/>
            <w:tcMar>
              <w:left w:w="71" w:type="dxa"/>
            </w:tcMar>
          </w:tcPr>
          <w:p>
            <w:pPr>
              <w:pStyle w:val="Style22"/>
              <w:spacing w:before="0" w:after="283"/>
              <w:rPr/>
            </w:pPr>
            <w:r>
              <w:rPr>
                <w:color w:val="000000"/>
              </w:rPr>
              <w:t xml:space="preserve">150% размера </w:t>
            </w:r>
            <w:r>
              <w:rPr>
                <w:rStyle w:val="Style12"/>
                <w:color w:val="000000"/>
              </w:rPr>
              <w:t>социальной пенсии</w:t>
            </w:r>
          </w:p>
        </w:tc>
      </w:tr>
      <w:tr>
        <w:trPr/>
        <w:tc>
          <w:tcPr>
            <w:tcW w:w="9302" w:type="dxa"/>
            <w:gridSpan w:val="2"/>
            <w:tcBorders>
              <w:top w:val="single" w:sz="2" w:space="0" w:color="808080"/>
              <w:left w:val="single" w:sz="6" w:space="0" w:color="808080"/>
              <w:bottom w:val="single" w:sz="2" w:space="0" w:color="808080"/>
              <w:right w:val="single" w:sz="6" w:space="0" w:color="808080"/>
              <w:insideH w:val="single" w:sz="2" w:space="0" w:color="808080"/>
              <w:insideV w:val="single" w:sz="6" w:space="0" w:color="808080"/>
            </w:tcBorders>
            <w:shd w:fill="auto" w:val="clear"/>
            <w:tcMar>
              <w:left w:w="59" w:type="dxa"/>
            </w:tcMar>
          </w:tcPr>
          <w:p>
            <w:pPr>
              <w:pStyle w:val="Style22"/>
              <w:spacing w:before="0" w:after="283"/>
              <w:jc w:val="center"/>
              <w:rPr/>
            </w:pPr>
            <w:r>
              <w:rPr>
                <w:color w:val="000000"/>
              </w:rPr>
              <w:t>ГРАЖДАНЕ, НАГРАЖДЕННЫЕ ЗНАКОМ “ЖИТЕЛЮ БЛОКАДНОГО ЛЕНИНГРАДА”</w:t>
            </w:r>
          </w:p>
        </w:tc>
      </w:tr>
      <w:tr>
        <w:trPr/>
        <w:tc>
          <w:tcPr>
            <w:tcW w:w="4524" w:type="dxa"/>
            <w:tcBorders>
              <w:top w:val="single" w:sz="2" w:space="0" w:color="808080"/>
              <w:left w:val="single" w:sz="6" w:space="0" w:color="808080"/>
              <w:bottom w:val="single" w:sz="2" w:space="0" w:color="808080"/>
              <w:insideH w:val="single" w:sz="2" w:space="0" w:color="808080"/>
            </w:tcBorders>
            <w:shd w:fill="auto" w:val="clear"/>
            <w:tcMar>
              <w:left w:w="59" w:type="dxa"/>
            </w:tcMar>
          </w:tcPr>
          <w:p>
            <w:pPr>
              <w:pStyle w:val="Style22"/>
              <w:spacing w:before="0" w:after="283"/>
              <w:rPr/>
            </w:pPr>
            <w:r>
              <w:rPr>
                <w:color w:val="000000"/>
              </w:rPr>
              <w:t>Инвалиды 1 группы</w:t>
            </w:r>
          </w:p>
        </w:tc>
        <w:tc>
          <w:tcPr>
            <w:tcW w:w="477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6" w:space="0" w:color="808080"/>
              <w:insideH w:val="single" w:sz="2" w:space="0" w:color="808080"/>
              <w:insideV w:val="single" w:sz="6" w:space="0" w:color="808080"/>
            </w:tcBorders>
            <w:shd w:fill="auto" w:val="clear"/>
            <w:tcMar>
              <w:left w:w="71" w:type="dxa"/>
            </w:tcMar>
          </w:tcPr>
          <w:p>
            <w:pPr>
              <w:pStyle w:val="Style22"/>
              <w:spacing w:before="0" w:after="283"/>
              <w:rPr/>
            </w:pPr>
            <w:r>
              <w:rPr>
                <w:color w:val="000000"/>
              </w:rPr>
              <w:t xml:space="preserve">200% размера </w:t>
            </w:r>
            <w:r>
              <w:rPr>
                <w:rStyle w:val="Style12"/>
                <w:color w:val="000000"/>
              </w:rPr>
              <w:t>социальной пенсии</w:t>
            </w:r>
          </w:p>
        </w:tc>
      </w:tr>
      <w:tr>
        <w:trPr/>
        <w:tc>
          <w:tcPr>
            <w:tcW w:w="4524" w:type="dxa"/>
            <w:tcBorders>
              <w:top w:val="single" w:sz="2" w:space="0" w:color="808080"/>
              <w:left w:val="single" w:sz="6" w:space="0" w:color="808080"/>
              <w:bottom w:val="single" w:sz="2" w:space="0" w:color="808080"/>
              <w:insideH w:val="single" w:sz="2" w:space="0" w:color="808080"/>
            </w:tcBorders>
            <w:shd w:fill="auto" w:val="clear"/>
            <w:tcMar>
              <w:left w:w="59" w:type="dxa"/>
            </w:tcMar>
          </w:tcPr>
          <w:p>
            <w:pPr>
              <w:pStyle w:val="Style22"/>
              <w:spacing w:before="0" w:after="283"/>
              <w:rPr/>
            </w:pPr>
            <w:r>
              <w:rPr>
                <w:color w:val="000000"/>
              </w:rPr>
              <w:t>Инвалиды 2 группы</w:t>
            </w:r>
          </w:p>
        </w:tc>
        <w:tc>
          <w:tcPr>
            <w:tcW w:w="477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6" w:space="0" w:color="808080"/>
              <w:insideH w:val="single" w:sz="2" w:space="0" w:color="808080"/>
              <w:insideV w:val="single" w:sz="6" w:space="0" w:color="808080"/>
            </w:tcBorders>
            <w:shd w:fill="auto" w:val="clear"/>
            <w:tcMar>
              <w:left w:w="71" w:type="dxa"/>
            </w:tcMar>
          </w:tcPr>
          <w:p>
            <w:pPr>
              <w:pStyle w:val="Style22"/>
              <w:spacing w:before="0" w:after="283"/>
              <w:rPr/>
            </w:pPr>
            <w:r>
              <w:rPr>
                <w:color w:val="000000"/>
              </w:rPr>
              <w:t xml:space="preserve">150% размера </w:t>
            </w:r>
            <w:r>
              <w:rPr>
                <w:rStyle w:val="Style12"/>
                <w:color w:val="000000"/>
              </w:rPr>
              <w:t>социальной пенсии</w:t>
            </w:r>
          </w:p>
        </w:tc>
      </w:tr>
      <w:tr>
        <w:trPr/>
        <w:tc>
          <w:tcPr>
            <w:tcW w:w="45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insideH w:val="single" w:sz="6" w:space="0" w:color="808080"/>
            </w:tcBorders>
            <w:shd w:fill="auto" w:val="clear"/>
            <w:tcMar>
              <w:left w:w="59" w:type="dxa"/>
            </w:tcMar>
          </w:tcPr>
          <w:p>
            <w:pPr>
              <w:pStyle w:val="Style22"/>
              <w:spacing w:before="0" w:after="283"/>
              <w:rPr/>
            </w:pPr>
            <w:r>
              <w:rPr>
                <w:color w:val="000000"/>
              </w:rPr>
              <w:t>Инвалиды 3 группы</w:t>
            </w:r>
          </w:p>
        </w:tc>
        <w:tc>
          <w:tcPr>
            <w:tcW w:w="4778" w:type="dxa"/>
            <w:tcBorders>
              <w:top w:val="single" w:sz="6" w:space="0" w:color="808080"/>
              <w:left w:val="single" w:sz="2" w:space="0" w:color="808080"/>
              <w:bottom w:val="single" w:sz="6" w:space="0" w:color="808080"/>
              <w:right w:val="single" w:sz="6" w:space="0" w:color="808080"/>
              <w:insideH w:val="single" w:sz="6" w:space="0" w:color="808080"/>
              <w:insideV w:val="single" w:sz="6" w:space="0" w:color="808080"/>
            </w:tcBorders>
            <w:shd w:fill="auto" w:val="clear"/>
            <w:tcMar>
              <w:left w:w="71" w:type="dxa"/>
            </w:tcMar>
          </w:tcPr>
          <w:p>
            <w:pPr>
              <w:pStyle w:val="Style22"/>
              <w:spacing w:before="0" w:after="283"/>
              <w:rPr/>
            </w:pPr>
            <w:r>
              <w:rPr>
                <w:color w:val="000000"/>
              </w:rPr>
              <w:t xml:space="preserve">100% размера </w:t>
            </w:r>
            <w:r>
              <w:rPr>
                <w:rStyle w:val="Style12"/>
                <w:color w:val="000000"/>
              </w:rPr>
              <w:t>социальной пенсии</w:t>
            </w:r>
          </w:p>
        </w:tc>
      </w:tr>
    </w:tbl>
    <w:p>
      <w:pPr>
        <w:pStyle w:val="Style15"/>
        <w:jc w:val="both"/>
        <w:rPr/>
      </w:pPr>
      <w:r>
        <w:rPr/>
        <w:t xml:space="preserve">Инвалидам, на иждивении которых находятся </w:t>
      </w:r>
      <w:r>
        <w:rPr>
          <w:rStyle w:val="Style12"/>
          <w:color w:val="000000"/>
        </w:rPr>
        <w:t>нетрудоспособные члены семьи</w:t>
      </w:r>
      <w:r>
        <w:rPr/>
        <w:t xml:space="preserve"> (указанные в подпунктах 1, 3 - 5 пункта 3 статьи 8 Федерального закона от 15 декабря 2001 года N 166-ФЗ "О государственном пенсионном обеспечении в Российской Федерации"), размер пенсии по инвалидности определяется исходя из размера социальной пенсии, увеличенного на </w:t>
      </w:r>
      <w:r>
        <w:rPr>
          <w:rStyle w:val="Style12"/>
          <w:color w:val="000000"/>
        </w:rPr>
        <w:t>1726 рублей 75 копеек</w:t>
      </w:r>
      <w:r>
        <w:rPr/>
        <w:t xml:space="preserve"> в месяц на каждого нетрудоспособного члена семьи, но не более чем на трех нетрудоспособных членов семьи.</w:t>
      </w:r>
    </w:p>
    <w:p>
      <w:pPr>
        <w:pStyle w:val="Style15"/>
        <w:rPr/>
      </w:pPr>
      <w:r>
        <w:rPr/>
        <w:t>Размеры государственных пенсий по инвалидности космонавтам</w:t>
      </w:r>
    </w:p>
    <w:tbl>
      <w:tblPr>
        <w:tblW w:w="9638" w:type="dxa"/>
        <w:jc w:val="left"/>
        <w:tblInd w:w="68" w:type="dxa"/>
        <w:tblBorders>
          <w:top w:val="single" w:sz="6" w:space="0" w:color="808080"/>
          <w:left w:val="single" w:sz="6" w:space="0" w:color="808080"/>
          <w:bottom w:val="single" w:sz="2" w:space="0" w:color="808080"/>
          <w:insideH w:val="single" w:sz="2" w:space="0" w:color="808080"/>
        </w:tblBorders>
        <w:tblCellMar>
          <w:top w:w="75" w:type="dxa"/>
          <w:left w:w="59" w:type="dxa"/>
          <w:bottom w:w="75" w:type="dxa"/>
          <w:right w:w="75" w:type="dxa"/>
        </w:tblCellMar>
      </w:tblPr>
      <w:tblGrid>
        <w:gridCol w:w="3514"/>
        <w:gridCol w:w="6123"/>
      </w:tblGrid>
      <w:tr>
        <w:trPr/>
        <w:tc>
          <w:tcPr>
            <w:tcW w:w="3514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insideH w:val="single" w:sz="2" w:space="0" w:color="808080"/>
            </w:tcBorders>
            <w:shd w:fill="auto" w:val="clear"/>
            <w:tcMar>
              <w:left w:w="59" w:type="dxa"/>
            </w:tcMar>
          </w:tcPr>
          <w:p>
            <w:pPr>
              <w:pStyle w:val="Style22"/>
              <w:spacing w:before="0" w:after="283"/>
              <w:jc w:val="center"/>
              <w:rPr/>
            </w:pPr>
            <w:r>
              <w:rPr>
                <w:rStyle w:val="Style12"/>
                <w:color w:val="000000"/>
              </w:rPr>
              <w:t>Категория получателей пенсии</w:t>
            </w:r>
          </w:p>
        </w:tc>
        <w:tc>
          <w:tcPr>
            <w:tcW w:w="6123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  <w:insideH w:val="single" w:sz="2" w:space="0" w:color="808080"/>
              <w:insideV w:val="single" w:sz="6" w:space="0" w:color="808080"/>
            </w:tcBorders>
            <w:shd w:fill="auto" w:val="clear"/>
            <w:tcMar>
              <w:left w:w="71" w:type="dxa"/>
            </w:tcMar>
          </w:tcPr>
          <w:p>
            <w:pPr>
              <w:pStyle w:val="Style22"/>
              <w:spacing w:before="0" w:after="283"/>
              <w:jc w:val="center"/>
              <w:rPr/>
            </w:pPr>
            <w:r>
              <w:rPr>
                <w:rStyle w:val="Style12"/>
                <w:color w:val="000000"/>
              </w:rPr>
              <w:t>Размер пенсии</w:t>
            </w:r>
          </w:p>
        </w:tc>
      </w:tr>
      <w:tr>
        <w:trPr/>
        <w:tc>
          <w:tcPr>
            <w:tcW w:w="3514" w:type="dxa"/>
            <w:tcBorders>
              <w:top w:val="single" w:sz="2" w:space="0" w:color="808080"/>
              <w:left w:val="single" w:sz="6" w:space="0" w:color="808080"/>
              <w:bottom w:val="single" w:sz="2" w:space="0" w:color="808080"/>
              <w:insideH w:val="single" w:sz="2" w:space="0" w:color="808080"/>
            </w:tcBorders>
            <w:shd w:fill="auto" w:val="clear"/>
            <w:tcMar>
              <w:left w:w="59" w:type="dxa"/>
            </w:tcMar>
          </w:tcPr>
          <w:p>
            <w:pPr>
              <w:pStyle w:val="Style22"/>
              <w:spacing w:before="0" w:after="283"/>
              <w:rPr/>
            </w:pPr>
            <w:r>
              <w:rPr>
                <w:color w:val="000000"/>
              </w:rPr>
              <w:t>Инвалиды 1 и 2 группы</w:t>
            </w:r>
          </w:p>
        </w:tc>
        <w:tc>
          <w:tcPr>
            <w:tcW w:w="612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6" w:space="0" w:color="808080"/>
              <w:insideH w:val="single" w:sz="2" w:space="0" w:color="808080"/>
              <w:insideV w:val="single" w:sz="6" w:space="0" w:color="808080"/>
            </w:tcBorders>
            <w:shd w:fill="auto" w:val="clear"/>
            <w:tcMar>
              <w:left w:w="71" w:type="dxa"/>
            </w:tcMar>
          </w:tcPr>
          <w:p>
            <w:pPr>
              <w:pStyle w:val="Style22"/>
              <w:spacing w:before="0" w:after="283"/>
              <w:rPr/>
            </w:pPr>
            <w:r>
              <w:rPr>
                <w:color w:val="000000"/>
              </w:rPr>
              <w:t>85% соответствующего денежного довольствия (заработка)</w:t>
            </w:r>
          </w:p>
        </w:tc>
      </w:tr>
      <w:tr>
        <w:trPr/>
        <w:tc>
          <w:tcPr>
            <w:tcW w:w="3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insideH w:val="single" w:sz="6" w:space="0" w:color="808080"/>
            </w:tcBorders>
            <w:shd w:fill="auto" w:val="clear"/>
            <w:tcMar>
              <w:left w:w="59" w:type="dxa"/>
            </w:tcMar>
          </w:tcPr>
          <w:p>
            <w:pPr>
              <w:pStyle w:val="Style22"/>
              <w:spacing w:before="0" w:after="283"/>
              <w:rPr/>
            </w:pPr>
            <w:r>
              <w:rPr>
                <w:color w:val="000000"/>
              </w:rPr>
              <w:t>Инвалиды 3 группы</w:t>
            </w:r>
          </w:p>
        </w:tc>
        <w:tc>
          <w:tcPr>
            <w:tcW w:w="6123" w:type="dxa"/>
            <w:tcBorders>
              <w:top w:val="single" w:sz="6" w:space="0" w:color="808080"/>
              <w:left w:val="single" w:sz="2" w:space="0" w:color="808080"/>
              <w:bottom w:val="single" w:sz="6" w:space="0" w:color="808080"/>
              <w:right w:val="single" w:sz="6" w:space="0" w:color="808080"/>
              <w:insideH w:val="single" w:sz="6" w:space="0" w:color="808080"/>
              <w:insideV w:val="single" w:sz="6" w:space="0" w:color="808080"/>
            </w:tcBorders>
            <w:shd w:fill="auto" w:val="clear"/>
            <w:tcMar>
              <w:left w:w="71" w:type="dxa"/>
            </w:tcMar>
          </w:tcPr>
          <w:p>
            <w:pPr>
              <w:pStyle w:val="Style22"/>
              <w:spacing w:before="0" w:after="283"/>
              <w:rPr/>
            </w:pPr>
            <w:r>
              <w:rPr>
                <w:color w:val="000000"/>
              </w:rPr>
              <w:t>50% соответствующего денежного довольствия (заработка)</w:t>
            </w:r>
          </w:p>
        </w:tc>
      </w:tr>
    </w:tbl>
    <w:p>
      <w:pPr>
        <w:pStyle w:val="Style15"/>
        <w:rPr/>
      </w:pPr>
      <w:r>
        <w:rPr/>
        <w:t>Размеры государственных пенсий по инвалидности гражданам, проживающим в районах Крайнего Севера и приравненных к ним местностях, в районах с тяжелыми климатическими условиями</w:t>
      </w:r>
    </w:p>
    <w:p>
      <w:pPr>
        <w:pStyle w:val="Style15"/>
        <w:rPr/>
      </w:pPr>
      <w:r>
        <w:rPr/>
        <w:t>Размеры государственных пенсий по инвалидности граждан, проживающих в районах Крайнего Севера и приравненных к ним местностях, в районах с тяжелыми климатическими условиями, определяемых Правительством Российской Федерации, увеличиваются на соответствующий районный коэффициент, устанавливаемый Правительством Российской Федерации, на весь период проживания граждан в указанных районах. При выезде граждан из этих районов на новое постоянное место жительства размер пенсии определяется без учета районного коэффициента.</w:t>
      </w:r>
    </w:p>
    <w:p>
      <w:pPr>
        <w:pStyle w:val="3"/>
        <w:numPr>
          <w:ilvl w:val="2"/>
          <w:numId w:val="1"/>
        </w:numPr>
        <w:rPr/>
      </w:pPr>
      <w:hyperlink r:id="rId10">
        <w:r>
          <w:rPr>
            <w:rStyle w:val="Style11"/>
          </w:rPr>
          <w:t xml:space="preserve">Сроки назначения </w:t>
        </w:r>
      </w:hyperlink>
    </w:p>
    <w:p>
      <w:pPr>
        <w:pStyle w:val="Style15"/>
        <w:rPr/>
      </w:pPr>
      <w:r>
        <w:rPr/>
        <w:t>Пенсия по государственному пенсионному обеспечению, независимо от ее вида, назначается с 1-го числа месяца, в котором гражданин обратился за ней, но не ранее чем со дня возникновения права на нее. Пенсия устанавливается на срок, в течение которого соответствующее лицо признано инвалидом, в том числе бессрочно.</w:t>
      </w:r>
    </w:p>
    <w:p>
      <w:pPr>
        <w:pStyle w:val="3"/>
        <w:numPr>
          <w:ilvl w:val="2"/>
          <w:numId w:val="1"/>
        </w:numPr>
        <w:rPr/>
      </w:pPr>
      <w:hyperlink r:id="rId11">
        <w:r>
          <w:rPr>
            <w:rStyle w:val="Style11"/>
          </w:rPr>
          <w:t xml:space="preserve">Выплата </w:t>
        </w:r>
      </w:hyperlink>
    </w:p>
    <w:p>
      <w:pPr>
        <w:pStyle w:val="Style15"/>
        <w:rPr/>
      </w:pPr>
      <w:r>
        <w:rPr/>
        <w:t>Пенсия выплачивается ежемесячно. Пенсионер вправе выбрать по своему усмотрению организацию, которая будет заниматься доставкой пенсии, а также способ ее получения (на дому, в кассе доставочной организации или на свой счет в банке). Кроме того, за пенсионера получать пенсию может доверенное лицо. Выплата пенсии по доверенности, срок действия которой превышает один год, производится в течение всего срока действия доверенности при условии, что пенсионер ежегодно подтверждает факт регистрации по месту получения пенсии.</w:t>
      </w:r>
    </w:p>
    <w:p>
      <w:pPr>
        <w:pStyle w:val="Style15"/>
        <w:rPr/>
      </w:pPr>
      <w:r>
        <w:rPr>
          <w:rStyle w:val="Style12"/>
        </w:rPr>
        <w:t>Способы доставки пенсии:</w:t>
      </w:r>
    </w:p>
    <w:p>
      <w:pPr>
        <w:pStyle w:val="Style15"/>
        <w:rPr/>
      </w:pPr>
      <w:r>
        <w:rPr>
          <w:u w:val="single"/>
        </w:rPr>
        <w:t>1. через Почту России</w:t>
      </w:r>
      <w:r>
        <w:rPr/>
        <w:t xml:space="preserve"> – вы можете получать пенсию на дом или самостоятельно в почтовом отделении по месту жительства. В этом случае каждому пенсионеру устанавливается дата получения пенсии в соответствии с графиком доставки, при этом пенсия может быть выплачена позднее установленной даты в пределах доставочного периода. Дату окончания выплатного периода лучше узнать заранее, так как в каждом почтовом отделении она своя. Если пенсия не получена в течение шести месяцев, то ее выплата приостанавливается, и необходимо будет написать заявление в свой Пенсионный фонд, чтобы возобновить выплату;</w:t>
      </w:r>
    </w:p>
    <w:p>
      <w:pPr>
        <w:pStyle w:val="Style15"/>
        <w:rPr/>
      </w:pPr>
      <w:r>
        <w:rPr>
          <w:u w:val="single"/>
        </w:rPr>
        <w:t>2. через банк</w:t>
      </w:r>
      <w:r>
        <w:rPr/>
        <w:t xml:space="preserve"> – вы можете получать пенсию в кассе отделения банка или оформить банковскую карту (с 01.07.2017 года для выплаты пенсии оформляются только карты национальной платежной системы «МИР») и снимать денежные средства через банкомат. Доставка пенсии за текущий месяц на счет производится в день поступления средств от территориального органа Пенсионного фонда России. Снять свои деньги с банковского счета можно в любой день после их зачисления. Зачисление на счет пенсионера в кредитной организации производится без взимания комиссионного вознаграждения.</w:t>
      </w:r>
    </w:p>
    <w:p>
      <w:pPr>
        <w:pStyle w:val="Style15"/>
        <w:jc w:val="both"/>
        <w:rPr/>
      </w:pPr>
      <w:r>
        <w:rPr/>
        <w:t>ВАЖНО! пенсионеры, получающие в настоящее время пенсии на счета, открытые в кредитных организациях на территории Российской Федерации, предусматривающие осуществление операций с использованием платежных карт иных платежных систем, будут переведены на национальную платежную систему «МИР» по мере истечения срока действия текущих банковских карт;</w:t>
      </w:r>
    </w:p>
    <w:p>
      <w:pPr>
        <w:pStyle w:val="Style15"/>
        <w:rPr/>
      </w:pPr>
      <w:r>
        <w:rPr>
          <w:u w:val="single"/>
        </w:rPr>
        <w:t>3. через организацию, занимающуюся доставкой пенсии</w:t>
      </w:r>
      <w:r>
        <w:rPr/>
        <w:t xml:space="preserve"> – вы можете получать пенсию на дому или самостоятельно в этой организации. Полный перечень таких организаций в вашем регионе (в том числе осуществляющих доставку пенсии на дом) есть в распоряжении территориального органа Пенсионного фонда России. Порядок выплаты пенсии через иную организацию, занимающуюся доставкой пенсий, такой же, как через отделение почтовой связи.</w:t>
      </w:r>
    </w:p>
    <w:p>
      <w:pPr>
        <w:pStyle w:val="Style15"/>
        <w:rPr/>
      </w:pPr>
      <w:r>
        <w:rPr>
          <w:rStyle w:val="Style13"/>
        </w:rPr>
        <w:t>Для выбора способа доставки или его изменения, вам необходимо уведомить об этом ПФР, любым удобным для вас способом:</w:t>
      </w:r>
    </w:p>
    <w:p>
      <w:pPr>
        <w:pStyle w:val="Style15"/>
        <w:numPr>
          <w:ilvl w:val="0"/>
          <w:numId w:val="12"/>
        </w:numPr>
        <w:tabs>
          <w:tab w:val="left" w:pos="0" w:leader="none"/>
        </w:tabs>
        <w:ind w:left="707" w:hanging="283"/>
        <w:rPr/>
      </w:pPr>
      <w:r>
        <w:rPr>
          <w:rStyle w:val="Style13"/>
        </w:rPr>
        <w:t>письменно, подав заявление в территориальный орган ПФР, который назначил вам пенсию (</w:t>
      </w:r>
      <w:hyperlink r:id="rId12">
        <w:r>
          <w:rPr>
            <w:rStyle w:val="Style13"/>
          </w:rPr>
          <w:t>бланк заявления на выбор способа доставки пенсии</w:t>
        </w:r>
      </w:hyperlink>
      <w:r>
        <w:rPr>
          <w:rStyle w:val="Style13"/>
        </w:rPr>
        <w:t>);</w:t>
      </w:r>
      <w:r>
        <w:rPr/>
        <w:t xml:space="preserve"> 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spacing w:before="0" w:after="140"/>
        <w:ind w:left="707" w:hanging="283"/>
        <w:rPr/>
      </w:pPr>
      <w:r>
        <w:rPr/>
        <w:t xml:space="preserve">в электронном виде, подав соответствующее заявление через </w:t>
      </w:r>
      <w:r>
        <w:fldChar w:fldCharType="begin"/>
      </w:r>
      <w:r>
        <w:instrText> HYPERLINK "https://es.pfrf.ru/" \l "services-f"</w:instrText>
      </w:r>
      <w:r>
        <w:fldChar w:fldCharType="separate"/>
      </w:r>
      <w:r>
        <w:rPr>
          <w:rStyle w:val="Style11"/>
        </w:rPr>
        <w:t>«Личный кабинет гражданина»</w:t>
      </w:r>
      <w:r>
        <w:fldChar w:fldCharType="end"/>
      </w:r>
      <w:r>
        <w:rPr/>
        <w:t xml:space="preserve"> на сайте ПФР.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4"/>
    <w:next w:val="Style15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4"/>
    <w:next w:val="Style15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next w:val="Style15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ListLabel1">
    <w:name w:val="ListLabel 1"/>
    <w:qFormat/>
    <w:rPr>
      <w:rFonts w:cs="OpenSymbol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Style12">
    <w:name w:val="Выделение жирным"/>
    <w:rPr>
      <w:b/>
      <w:bCs/>
    </w:rPr>
  </w:style>
  <w:style w:type="character" w:styleId="Style13">
    <w:name w:val="Выделение"/>
    <w:rPr>
      <w:i/>
      <w:i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4"/>
    <w:next w:val="Style15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4"/>
    <w:next w:val="Style15"/>
    <w:pPr>
      <w:spacing w:before="60" w:after="120"/>
      <w:jc w:val="center"/>
    </w:pPr>
    <w:rPr>
      <w:sz w:val="36"/>
      <w:szCs w:val="36"/>
    </w:rPr>
  </w:style>
  <w:style w:type="paragraph" w:styleId="Style22">
    <w:name w:val="Содержимое таблицы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knopki/zhizn~442" TargetMode="External"/><Relationship Id="rId3" Type="http://schemas.openxmlformats.org/officeDocument/2006/relationships/hyperlink" Target="http://www.pfrf.ru/knopki/zhizn~442" TargetMode="External"/><Relationship Id="rId4" Type="http://schemas.openxmlformats.org/officeDocument/2006/relationships/hyperlink" Target="https://es.pfrf.ru/" TargetMode="External"/><Relationship Id="rId5" Type="http://schemas.openxmlformats.org/officeDocument/2006/relationships/hyperlink" Target="http://www.pfrf.ru/knopki/zhizn~442" TargetMode="External"/><Relationship Id="rId6" Type="http://schemas.openxmlformats.org/officeDocument/2006/relationships/hyperlink" Target="http://www.pfrf.ru/files/id/zhiznsit/pens/2015/Zayavlenie_o_naznachenii_SP.doc" TargetMode="External"/><Relationship Id="rId7" Type="http://schemas.openxmlformats.org/officeDocument/2006/relationships/hyperlink" Target="http://www.pfrf.ru/files/id/zhiznsit/pens/Pravila_zapolneniya_zayavleniya_o_naznachenii_SP.doc" TargetMode="External"/><Relationship Id="rId8" Type="http://schemas.openxmlformats.org/officeDocument/2006/relationships/hyperlink" Target="http://www.pfrf.ru/knopki/zhizn~442" TargetMode="External"/><Relationship Id="rId9" Type="http://schemas.openxmlformats.org/officeDocument/2006/relationships/hyperlink" Target="http://www.pfrf.ru/knopki/zhizn~442" TargetMode="External"/><Relationship Id="rId10" Type="http://schemas.openxmlformats.org/officeDocument/2006/relationships/hyperlink" Target="http://www.pfrf.ru/knopki/zhizn~442" TargetMode="External"/><Relationship Id="rId11" Type="http://schemas.openxmlformats.org/officeDocument/2006/relationships/hyperlink" Target="http://www.pfrf.ru/knopki/zhizn~442" TargetMode="External"/><Relationship Id="rId12" Type="http://schemas.openxmlformats.org/officeDocument/2006/relationships/hyperlink" Target="http://www.pfrf.ru/files/id/zhiznsit/pens/2016/Zayavlenie_o_dostavke_pensii-2.doc" TargetMode="External"/><Relationship Id="rId13" Type="http://schemas.openxmlformats.org/officeDocument/2006/relationships/numbering" Target="numbering.xml"/><Relationship Id="rId14" Type="http://schemas.openxmlformats.org/officeDocument/2006/relationships/fontTable" Target="fontTable.xml"/><Relationship Id="rId1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2018-05-08T08:33:20Z</dcterms:created>
  <dc:language>ru-RU</dc:language>
  <cp:lastPrinted>2018-05-08T08:34:54Z</cp:lastPrinted>
  <dcterms:modified xsi:type="dcterms:W3CDTF">2018-05-08T08:36:07Z</dcterms:modified>
  <cp:revision>2</cp:revision>
</cp:coreProperties>
</file>