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 Государственную Думу поступила инициатива, направленная на расширение использования материнского капитала. Средства предлагается разрешить тратить на приобретение или строительство садового или жилого дома на земельном участке.</w:t>
        <w:br/>
        <w:br/>
        <w:t xml:space="preserve">"В сложившейся экономической ситуации и с учетом исторических особенностей, социально-экономическое значение садовых земельных участков для граждан трудно переоценить", - отмечается в проекте закона.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2018-05-08T09:06:12Z</dcterms:created>
  <dc:language>ru-RU</dc:language>
  <cp:lastPrinted>2018-05-08T09:06:51Z</cp:lastPrinted>
  <dcterms:modified xsi:type="dcterms:W3CDTF">2018-05-08T09:08:56Z</dcterms:modified>
  <cp:revision>1</cp:revision>
</cp:coreProperties>
</file>