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Н</w:t>
      </w:r>
      <w:r>
        <w:rPr/>
        <w:t>ам очень часто задают подобный вопрос, поэтому сегодня в рубрике "</w:t>
      </w:r>
      <w:bookmarkStart w:id="0" w:name="__DdeLink__1405_1508977161"/>
      <w:r>
        <w:rPr/>
        <w:t>Вопрос -ответ" поговорим о периодах работы, засчитываемые в стаж.</w:t>
      </w:r>
      <w:bookmarkEnd w:id="0"/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33655</wp:posOffset>
            </wp:positionH>
            <wp:positionV relativeFrom="paragraph">
              <wp:posOffset>169545</wp:posOffset>
            </wp:positionV>
            <wp:extent cx="3881120" cy="2910840"/>
            <wp:effectExtent l="0" t="0" r="0" b="0"/>
            <wp:wrapSquare wrapText="largest"/>
            <wp:docPr id="1" name="Изображение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2018-05-08T09:03:50Z</dcterms:created>
  <dc:language>ru-RU</dc:language>
  <dcterms:modified xsi:type="dcterms:W3CDTF">2018-05-08T09:05:02Z</dcterms:modified>
  <cp:revision>1</cp:revision>
</cp:coreProperties>
</file>