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Кто такие военные пенсионеры? Имеют ли они право на получение пенсии по линии Пенсионного фонда</w:t>
      </w:r>
      <w:bookmarkStart w:id="0" w:name="__DdeLink__1362_1299944078"/>
      <w:bookmarkEnd w:id="0"/>
      <w:r>
        <w:rPr/>
        <w:t xml:space="preserve">?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730250</wp:posOffset>
            </wp:positionH>
            <wp:positionV relativeFrom="paragraph">
              <wp:posOffset>438150</wp:posOffset>
            </wp:positionV>
            <wp:extent cx="4759325" cy="3569335"/>
            <wp:effectExtent l="0" t="0" r="0" b="0"/>
            <wp:wrapSquare wrapText="largest"/>
            <wp:docPr id="1" name="Изображение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9325" cy="356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2018-04-28T12:40:13Z</dcterms:created>
  <dc:language>ru-RU</dc:language>
  <dcterms:modified xsi:type="dcterms:W3CDTF">2018-04-28T12:41:46Z</dcterms:modified>
  <cp:revision>1</cp:revision>
</cp:coreProperties>
</file>