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3"/>
        </w:numPr>
        <w:spacing w:before="140" w:after="120"/>
        <w:rPr/>
      </w:pPr>
      <w:bookmarkStart w:id="0" w:name="__DdeLink__189_1480119854"/>
      <w:r>
        <w:rPr>
          <w:rStyle w:val="Style11"/>
        </w:rPr>
        <w:t>Куда и когда обратиться за назначением ежемесячной выплаты</w:t>
      </w:r>
      <w:bookmarkEnd w:id="0"/>
      <w:r>
        <w:rPr>
          <w:rStyle w:val="Style11"/>
        </w:rPr>
        <w:t xml:space="preserve"> </w:t>
      </w:r>
    </w:p>
    <w:p>
      <w:pPr>
        <w:pStyle w:val="Style14"/>
        <w:rPr/>
      </w:pPr>
      <w:r>
        <w:rPr/>
        <w:t>Ежемесячная выплата выплачивается семье до достижения ребенком до 1,5 лет: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2"/>
        </w:rPr>
        <w:t>Со дня рождения ребенка</w:t>
      </w:r>
      <w:r>
        <w:rPr/>
        <w:t xml:space="preserve">, если обращение последовало не позднее 6 месяцев с даты рождения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 </w:t>
      </w:r>
    </w:p>
    <w:p>
      <w:pPr>
        <w:pStyle w:val="Style14"/>
        <w:numPr>
          <w:ilvl w:val="0"/>
          <w:numId w:val="4"/>
        </w:numPr>
        <w:tabs>
          <w:tab w:val="left" w:pos="0" w:leader="none"/>
        </w:tabs>
        <w:ind w:left="707" w:hanging="283"/>
        <w:rPr/>
      </w:pPr>
      <w:r>
        <w:rPr>
          <w:rStyle w:val="Style12"/>
        </w:rPr>
        <w:t>Со дня обращения</w:t>
      </w:r>
      <w:r>
        <w:rPr/>
        <w:t xml:space="preserve">, если гражданин обратился за назначением выплаты позднее 6 месяцев </w:t>
      </w:r>
    </w:p>
    <w:p>
      <w:pPr>
        <w:pStyle w:val="Style14"/>
        <w:rPr/>
      </w:pPr>
      <w:r>
        <w:rPr/>
        <w:t>Заявление о назначении ежемесячной выплаты подается в территориальный орган Пенсионного фонда России по месту жительства. Закон отводит Пенсионному фонду месяц на рассмотрение заявления и еще десять рабочих дней на перевод средств. Деньги будут перечисляться на банковский счет владельца сертификата на материнский капитал Одновременно можно подать заявление на получение сертификата на материнский капитал и страховое свидетельство обязательного пенсионного страхования (СНИЛС) для рожденного ребенка.</w:t>
      </w:r>
    </w:p>
    <w:p>
      <w:pPr>
        <w:pStyle w:val="3"/>
        <w:numPr>
          <w:ilvl w:val="2"/>
          <w:numId w:val="3"/>
        </w:numPr>
        <w:rPr/>
      </w:pPr>
      <w:hyperlink r:id="rId2">
        <w:r>
          <w:rPr>
            <w:rStyle w:val="Style11"/>
          </w:rPr>
          <w:t xml:space="preserve">Какие документы представить </w:t>
        </w:r>
      </w:hyperlink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Документ, удостоверяющий личность заявителя;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Документы, удостоверяющие личность, место жительства (пребывания) членов семьи заявителя;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Документы, подтверждающие место проживания на территории Российской Федерации заявителя;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Страховое свидетельство обязательного пенсионного страхования заявителя и членов его семьи (СНИЛС).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Документ, удостоверяющий личность представителя;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Документ, подтверждающий полномочия представителя;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Разрешение органа опеки и попечительства о расходовании средств материнского капитала – в случае подачи заявления опекунами (попечителями) ребенка (детей). </w:t>
      </w:r>
    </w:p>
    <w:p>
      <w:pPr>
        <w:pStyle w:val="Style14"/>
        <w:numPr>
          <w:ilvl w:val="0"/>
          <w:numId w:val="5"/>
        </w:numPr>
        <w:tabs>
          <w:tab w:val="left" w:pos="0" w:leader="none"/>
        </w:tabs>
        <w:ind w:left="707" w:hanging="283"/>
        <w:rPr/>
      </w:pPr>
      <w:r>
        <w:rPr/>
        <w:t xml:space="preserve">Документы (сведения), подтверждающие состав семьи: </w:t>
      </w:r>
    </w:p>
    <w:p>
      <w:pPr>
        <w:pStyle w:val="Style14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свидетельство о заключении брака; </w:t>
      </w:r>
    </w:p>
    <w:p>
      <w:pPr>
        <w:pStyle w:val="Style14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свидетельство о расторжении брака; </w:t>
      </w:r>
    </w:p>
    <w:p>
      <w:pPr>
        <w:pStyle w:val="Style14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документы, подтверждающие рождение (усыновление) детей; </w:t>
      </w:r>
    </w:p>
    <w:p>
      <w:pPr>
        <w:pStyle w:val="Style14"/>
        <w:numPr>
          <w:ilvl w:val="0"/>
          <w:numId w:val="6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сведения, внесенные в паспорт гражданина Российской Федерации – заявителя; </w:t>
      </w:r>
    </w:p>
    <w:p>
      <w:pPr>
        <w:pStyle w:val="Style14"/>
        <w:numPr>
          <w:ilvl w:val="0"/>
          <w:numId w:val="6"/>
        </w:numPr>
        <w:tabs>
          <w:tab w:val="left" w:pos="0" w:leader="none"/>
        </w:tabs>
        <w:ind w:left="707" w:hanging="283"/>
        <w:rPr/>
      </w:pPr>
      <w:r>
        <w:rPr/>
        <w:t xml:space="preserve">свидетельство о перемене имени (в случае изменения фамилии, имени или отчества заявителя или членов его семьи). </w:t>
      </w:r>
    </w:p>
    <w:p>
      <w:pPr>
        <w:pStyle w:val="Style14"/>
        <w:numPr>
          <w:ilvl w:val="0"/>
          <w:numId w:val="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Документы, подтверждающие установление опеки над несовершеннолетним ребенком (договор о приемной семье и акт органа опеки и попечительства о назначении опекуна или попечителя, удостоверение опекуна). </w:t>
      </w:r>
    </w:p>
    <w:p>
      <w:pPr>
        <w:pStyle w:val="Style14"/>
        <w:numPr>
          <w:ilvl w:val="0"/>
          <w:numId w:val="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Документ, подтверждающий реквизиты счета в российской кредитной организации, открытого на заявителя, или представителя несовершеннолетнего ребенка (договор банковского вклада (счета), справка кредитной организации о реквизитах счета и другие документы, содержащие сведения о реквизитах счета). </w:t>
      </w:r>
    </w:p>
    <w:p>
      <w:pPr>
        <w:pStyle w:val="Style14"/>
        <w:numPr>
          <w:ilvl w:val="0"/>
          <w:numId w:val="7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Документы (справки, сведения, решения суда), подтверждающие основания не учитывать сведения члена семьи в расчете среднедушевого дохода в соответствии с частью 11 статьи 4 Федерального закона от № «О ежемесячных выплатах семьям, имеющим детей»: подтверждающие факт отбывания наказания в виде лишения свободы, применения меры пресечения в виде заключения под стражу, нахождения на принудительном лечении по решению суда, а также факт лишения родительских прав или ограниченные в родительских правах члена семьи, нахождения на полном государственном обеспечении члена семьи заявителя. </w:t>
      </w:r>
    </w:p>
    <w:p>
      <w:pPr>
        <w:pStyle w:val="Style14"/>
        <w:numPr>
          <w:ilvl w:val="0"/>
          <w:numId w:val="7"/>
        </w:numPr>
        <w:tabs>
          <w:tab w:val="left" w:pos="0" w:leader="none"/>
        </w:tabs>
        <w:ind w:left="707" w:hanging="283"/>
        <w:rPr/>
      </w:pPr>
      <w:r>
        <w:rPr/>
        <w:t xml:space="preserve">Документы, подтверждающие факт отсутствия второго родителя (в случае обращения в качестве заявителя единственного родителя): </w:t>
      </w:r>
    </w:p>
    <w:p>
      <w:pPr>
        <w:pStyle w:val="Style14"/>
        <w:numPr>
          <w:ilvl w:val="0"/>
          <w:numId w:val="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справка органов записи актов гражданского состояния об основании внесения в свидетельство о рождении сведений об отце ребенка – на ребенка (детей) одинокой матери; </w:t>
      </w:r>
    </w:p>
    <w:p>
      <w:pPr>
        <w:pStyle w:val="Style14"/>
        <w:numPr>
          <w:ilvl w:val="0"/>
          <w:numId w:val="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свидетельство о смерти второго родителя; </w:t>
      </w:r>
    </w:p>
    <w:p>
      <w:pPr>
        <w:pStyle w:val="Style14"/>
        <w:numPr>
          <w:ilvl w:val="0"/>
          <w:numId w:val="8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свидетельство о расторжении брака; </w:t>
      </w:r>
    </w:p>
    <w:p>
      <w:pPr>
        <w:pStyle w:val="Style14"/>
        <w:numPr>
          <w:ilvl w:val="0"/>
          <w:numId w:val="8"/>
        </w:numPr>
        <w:tabs>
          <w:tab w:val="left" w:pos="0" w:leader="none"/>
        </w:tabs>
        <w:ind w:left="707" w:hanging="283"/>
        <w:rPr/>
      </w:pPr>
      <w:r>
        <w:rPr/>
        <w:t xml:space="preserve">решение суда о признании второго родителя безвестно отсутствующим или об объявлении умершим, вступившее в законную силу.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Решение суда и иные документы, содержащие в соответствии с законодательством Российской Федерации сведения об объявлении гражданина умершим, о признании его безвестно отсутствующим, о лишении его родительских прав.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Решение суда об отмене решения суда об объявлении гражданина умершим, о признании его безвестно отсутствующим, или о лишении его родительских прав.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Решение суда о восстановлении в родительских правах.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140"/>
        <w:ind w:left="707" w:hanging="283"/>
        <w:rPr/>
      </w:pPr>
      <w:r>
        <w:rPr/>
        <w:t xml:space="preserve">Документы (справки, сведения, договоры) о доходах заявителя и членов семьи.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3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9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character" w:styleId="ListLabel1">
    <w:name w:val="ListLabel 1"/>
    <w:qFormat/>
    <w:rPr>
      <w:rFonts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~4061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2018-03-07T15:19:43Z</dcterms:created>
  <dc:language>ru-RU</dc:language>
  <dcterms:modified xsi:type="dcterms:W3CDTF">2018-03-07T15:20:02Z</dcterms:modified>
  <cp:revision>1</cp:revision>
</cp:coreProperties>
</file>