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Сомневаетесь, положена ли вам выплата из материнского капитала за второго ребенка? Воспользуйтесь специальным калькулятором для расчета доходов семьи </w:t>
      </w:r>
    </w:p>
    <w:p>
      <w:pPr>
        <w:pStyle w:val="1"/>
        <w:numPr>
          <w:ilvl w:val="0"/>
          <w:numId w:val="2"/>
        </w:numPr>
        <w:rPr/>
      </w:pPr>
      <w:bookmarkStart w:id="0" w:name="__DdeLink__185_1480119854"/>
      <w:bookmarkEnd w:id="0"/>
      <w:r>
        <w:rPr/>
        <w:t>Как получить ежемесячную выплату из средств материнского капитала</w:t>
      </w:r>
    </w:p>
    <w:p>
      <w:pPr>
        <w:pStyle w:val="Style14"/>
        <w:rPr/>
      </w:pPr>
      <w:r>
        <w:rPr/>
        <w:t>Нуждающимся семьям, в которых с 2018 года родился или усыновлен второй ребенок, Пенсионный фонд из средств материнского капитала ежемесячно на протяжении полутора лет осуществляет выплату в размере прожиточного минимума ребенка в регионе проживания семьи.</w:t>
      </w:r>
    </w:p>
    <w:p>
      <w:pPr>
        <w:pStyle w:val="Style14"/>
        <w:rPr/>
      </w:pPr>
      <w:r>
        <w:rPr/>
        <w:t>Подать заявление о назначении ежемесячной выплаты можно в любое время в течение полутора лет со дня рождения ребенка. Ежемесячная выплата осуществляется в течение полутора лет со дня рождения ребенка, однако первый выплатной период рассчитан на год. После этого необходимо подать новое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w:t>
      </w:r>
    </w:p>
    <w:p>
      <w:pPr>
        <w:pStyle w:val="Style14"/>
        <w:rPr/>
      </w:pPr>
      <w:r>
        <w:rP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pPr>
        <w:pStyle w:val="3"/>
        <w:numPr>
          <w:ilvl w:val="2"/>
          <w:numId w:val="2"/>
        </w:numPr>
        <w:rPr/>
      </w:pPr>
      <w:hyperlink r:id="rId2">
        <w:r>
          <w:rPr>
            <w:rStyle w:val="Style11"/>
          </w:rPr>
          <w:t xml:space="preserve">Кому положена ежемесячная выплата </w:t>
        </w:r>
      </w:hyperlink>
    </w:p>
    <w:p>
      <w:pPr>
        <w:pStyle w:val="Style14"/>
        <w:rPr/>
      </w:pPr>
      <w:r>
        <w:rPr/>
        <w:t>Право на получение ежемесячной денежной выплаты имеют семьи, постоянно проживающие на территории РФ, если:</w:t>
      </w:r>
    </w:p>
    <w:p>
      <w:pPr>
        <w:pStyle w:val="Style14"/>
        <w:numPr>
          <w:ilvl w:val="0"/>
          <w:numId w:val="3"/>
        </w:numPr>
        <w:tabs>
          <w:tab w:val="left" w:pos="0" w:leader="none"/>
        </w:tabs>
        <w:spacing w:before="0" w:after="0"/>
        <w:ind w:left="707" w:hanging="283"/>
        <w:rPr/>
      </w:pPr>
      <w:r>
        <w:rPr/>
        <w:t xml:space="preserve">Второй ребенок и мама – граждане Российской Федерации; </w:t>
      </w:r>
    </w:p>
    <w:p>
      <w:pPr>
        <w:pStyle w:val="Style14"/>
        <w:numPr>
          <w:ilvl w:val="0"/>
          <w:numId w:val="3"/>
        </w:numPr>
        <w:tabs>
          <w:tab w:val="left" w:pos="0" w:leader="none"/>
        </w:tabs>
        <w:spacing w:before="0" w:after="0"/>
        <w:ind w:left="707" w:hanging="283"/>
        <w:rPr/>
      </w:pPr>
      <w:r>
        <w:rPr/>
        <w:t xml:space="preserve">Второй ребенок появился в семье после 1 января 2018 года; </w:t>
      </w:r>
    </w:p>
    <w:p>
      <w:pPr>
        <w:pStyle w:val="Style14"/>
        <w:numPr>
          <w:ilvl w:val="0"/>
          <w:numId w:val="3"/>
        </w:numPr>
        <w:tabs>
          <w:tab w:val="left" w:pos="0" w:leader="none"/>
        </w:tabs>
        <w:ind w:left="707" w:hanging="283"/>
        <w:rPr/>
      </w:pPr>
      <w:r>
        <w:rPr/>
        <w:t xml:space="preserve">Размер дохода на одного члена семьи не превышает 1,5-кратную величину прожиточного минимума трудоспособного населения, установленную в субъекте Российской Федерации на II квартал прошлого года. </w:t>
      </w:r>
    </w:p>
    <w:p>
      <w:pPr>
        <w:pStyle w:val="3"/>
        <w:numPr>
          <w:ilvl w:val="0"/>
          <w:numId w:val="0"/>
        </w:numPr>
        <w:rPr/>
      </w:pPr>
      <w:hyperlink r:id="rId3">
        <w:r>
          <w:rPr>
            <w:rStyle w:val="Style11"/>
          </w:rPr>
          <w:t xml:space="preserve">Как рассчитывается среднедушевой доход семьи </w:t>
        </w:r>
      </w:hyperlink>
    </w:p>
    <w:p>
      <w:pPr>
        <w:pStyle w:val="Style14"/>
        <w:rPr/>
      </w:pPr>
      <w:r>
        <w:rPr/>
        <w:t>При расчете учитываются доходы семьи (родители несовершеннолетних детей, супруги родителей несовершеннолетних детей, несовершеннолетние дети), полученные в денежной форме:</w:t>
      </w:r>
    </w:p>
    <w:p>
      <w:pPr>
        <w:pStyle w:val="Style14"/>
        <w:numPr>
          <w:ilvl w:val="0"/>
          <w:numId w:val="4"/>
        </w:numPr>
        <w:tabs>
          <w:tab w:val="left" w:pos="0" w:leader="none"/>
        </w:tabs>
        <w:spacing w:before="0" w:after="0"/>
        <w:ind w:left="707" w:hanging="283"/>
        <w:rPr/>
      </w:pPr>
      <w:r>
        <w:rPr/>
        <w:t xml:space="preserve">Заработная плата, премии; </w:t>
      </w:r>
    </w:p>
    <w:p>
      <w:pPr>
        <w:pStyle w:val="Style14"/>
        <w:numPr>
          <w:ilvl w:val="0"/>
          <w:numId w:val="4"/>
        </w:numPr>
        <w:tabs>
          <w:tab w:val="left" w:pos="0" w:leader="none"/>
        </w:tabs>
        <w:spacing w:before="0" w:after="0"/>
        <w:ind w:left="707" w:hanging="283"/>
        <w:rPr/>
      </w:pPr>
      <w:r>
        <w:rPr/>
        <w:t xml:space="preserve">Пенсии, пособия, оплата больничных, стипендии, алименты; </w:t>
      </w:r>
    </w:p>
    <w:p>
      <w:pPr>
        <w:pStyle w:val="Style14"/>
        <w:numPr>
          <w:ilvl w:val="0"/>
          <w:numId w:val="4"/>
        </w:numPr>
        <w:tabs>
          <w:tab w:val="left" w:pos="0" w:leader="none"/>
        </w:tabs>
        <w:spacing w:before="0" w:after="0"/>
        <w:ind w:left="707" w:hanging="283"/>
        <w:rPr/>
      </w:pPr>
      <w:r>
        <w:rPr/>
        <w:t xml:space="preserve">Выплаты пенсионных накоплений правопреемникам; </w:t>
      </w:r>
    </w:p>
    <w:p>
      <w:pPr>
        <w:pStyle w:val="Style14"/>
        <w:numPr>
          <w:ilvl w:val="0"/>
          <w:numId w:val="4"/>
        </w:numPr>
        <w:tabs>
          <w:tab w:val="left" w:pos="0" w:leader="none"/>
        </w:tabs>
        <w:spacing w:before="0" w:after="0"/>
        <w:ind w:left="707" w:hanging="283"/>
        <w:rPr/>
      </w:pPr>
      <w:r>
        <w:rPr/>
        <w:t xml:space="preserve">Компенсации, выплачиваемые государственным органом или общественным объединением в период исполнение государственных и общественных обязанностей; </w:t>
      </w:r>
    </w:p>
    <w:p>
      <w:pPr>
        <w:pStyle w:val="Style14"/>
        <w:numPr>
          <w:ilvl w:val="0"/>
          <w:numId w:val="4"/>
        </w:numPr>
        <w:tabs>
          <w:tab w:val="left" w:pos="0" w:leader="none"/>
        </w:tabs>
        <w:ind w:left="707" w:hanging="283"/>
        <w:rPr/>
      </w:pPr>
      <w:r>
        <w:rPr/>
        <w:t xml:space="preserve">Денежные компенсации и довольствие военнослужащих, сотрудников органов внутренних дел и других правоохранительных органов </w:t>
      </w:r>
    </w:p>
    <w:p>
      <w:pPr>
        <w:pStyle w:val="Style14"/>
        <w:rPr/>
      </w:pPr>
      <w:r>
        <w:rPr/>
        <w:t>Не учитываются</w:t>
      </w:r>
      <w:r>
        <w:rPr>
          <w:rStyle w:val="Style12"/>
        </w:rPr>
        <w:t>:</w:t>
      </w:r>
      <w:r>
        <w:rPr/>
        <w:t xml:space="preserve"> суммы единовременной материальной помощи из федерального бюджета в связи чрезвычайными происшествиями, доходы от депозитов в банках, от сдачи в аренду жилья и иного имущества.</w:t>
      </w:r>
    </w:p>
    <w:p>
      <w:pPr>
        <w:pStyle w:val="Style14"/>
        <w:rPr/>
      </w:pPr>
      <w:r>
        <w:rPr/>
        <w:t>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ребенка. Если полученная сумма меньше 1,5-кратного прожиточного минимума, семья имеет право на получение ежемесячной выплаты из средств материнского капитала.</w:t>
      </w:r>
    </w:p>
    <w:p>
      <w:pPr>
        <w:pStyle w:val="Style14"/>
        <w:rPr/>
      </w:pPr>
      <w:r>
        <w:rPr/>
        <w:t>В нижеприведенной таблице указаны прожиточные минимумы трудоспособного населения и детей в субъектах РФ. Для большего удобства в таблице также приведены 1,5-кратный прожиточный минимум трудоспособного населения и уровень дохода семей из 3 и 4 человек, дающий им право на ежемесячную выплату.</w:t>
      </w:r>
    </w:p>
    <w:p>
      <w:pPr>
        <w:pStyle w:val="3"/>
        <w:numPr>
          <w:ilvl w:val="2"/>
          <w:numId w:val="2"/>
        </w:numPr>
        <w:rPr/>
      </w:pPr>
      <w:hyperlink r:id="rId4">
        <w:r>
          <w:rPr>
            <w:rStyle w:val="Style11"/>
          </w:rPr>
          <w:t xml:space="preserve">Прожиточные минимумы и доходы семьи </w:t>
        </w:r>
      </w:hyperlink>
    </w:p>
    <w:p>
      <w:pPr>
        <w:pStyle w:val="Style14"/>
        <w:rPr/>
      </w:pPr>
      <w:r>
        <w:rPr>
          <w:rStyle w:val="Style12"/>
        </w:rPr>
        <w:t>Пример:</w:t>
      </w:r>
    </w:p>
    <w:p>
      <w:pPr>
        <w:pStyle w:val="Style14"/>
        <w:rPr/>
      </w:pPr>
      <w:r>
        <w:rPr/>
        <w:t>Семья – Ирина (бухгалтер), Николай (электрик в жилищной компании) и их сын Дима 5 лет.</w:t>
      </w:r>
    </w:p>
    <w:p>
      <w:pPr>
        <w:pStyle w:val="Style14"/>
        <w:rPr/>
      </w:pPr>
      <w:r>
        <w:rPr/>
        <w:t>В январе 2018 родилась дочь Мария. Живут в Вологде.</w:t>
      </w:r>
    </w:p>
    <w:p>
      <w:pPr>
        <w:pStyle w:val="Style14"/>
        <w:rPr/>
      </w:pPr>
      <w:r>
        <w:rPr/>
        <w:t>В 2017 году Ирина заработала 330 тыс. рублей (зарплата 27,5 тыс. рублей в месяц), а Николай 480 тыс. рублей (зарплата 40 тыс. рублей в месяц). Иных доходов не было.</w:t>
      </w:r>
    </w:p>
    <w:p>
      <w:pPr>
        <w:pStyle w:val="Style14"/>
        <w:rPr/>
      </w:pPr>
      <w:r>
        <w:rPr/>
        <w:t>Годовой доход семьи в 2017 году – 810 000 рублей.</w:t>
      </w:r>
    </w:p>
    <w:p>
      <w:pPr>
        <w:pStyle w:val="Style14"/>
        <w:rPr/>
      </w:pPr>
      <w:r>
        <w:rPr/>
        <w:t>Доход семьи делится на 12 месяцев, а потом на 4 человека: 810 000/12/4= 16 875 руб./чел. в месяц.</w:t>
      </w:r>
    </w:p>
    <w:p>
      <w:pPr>
        <w:pStyle w:val="Style14"/>
        <w:rPr/>
      </w:pPr>
      <w:r>
        <w:rPr/>
        <w:t>Прожиточный минимум трудоспособного гражданина в Вологде во II квартале 2017 года – 11 907 рублей, а ребенка – 10 732 рубля. Соответственно 1,5 прожиточного минимума трудоспособного – 17 860 руб.</w:t>
      </w:r>
    </w:p>
    <w:p>
      <w:pPr>
        <w:pStyle w:val="Style14"/>
        <w:rPr/>
      </w:pPr>
      <w:r>
        <w:rPr/>
        <w:t>То есть в семье Ирины и Николая в 2017 году доход на члена семьи (16 875 руб.) менее 1,5 минимума трудоспособного гражданина в Вологодской области во 2 квартале 2017 года (17 860 руб.). Это значит, семье положена ежемесячная денежная выплата из средств материнского капитала в размере 10 732 руб. в месяц.</w:t>
      </w:r>
    </w:p>
    <w:p>
      <w:pPr>
        <w:pStyle w:val="3"/>
        <w:numPr>
          <w:ilvl w:val="2"/>
          <w:numId w:val="2"/>
        </w:numPr>
        <w:spacing w:before="140" w:after="120"/>
        <w:rPr>
          <w:rStyle w:val="Style11"/>
        </w:rPr>
      </w:pPr>
      <w:hyperlink r:id="rId5">
        <w:r>
          <w:rPr/>
          <w:drawing>
            <wp:anchor behindDoc="0" distT="0" distB="0" distL="0" distR="0" simplePos="0" locked="0" layoutInCell="1" allowOverlap="1" relativeHeight="2">
              <wp:simplePos x="0" y="0"/>
              <wp:positionH relativeFrom="column">
                <wp:align>left</wp:align>
              </wp:positionH>
              <wp:positionV relativeFrom="line">
                <wp:align>top</wp:align>
              </wp:positionV>
              <wp:extent cx="6120130" cy="4762500"/>
              <wp:effectExtent l="0" t="0" r="0" b="0"/>
              <wp:wrapSquare wrapText="largest"/>
              <wp:docPr id="1" name="Объект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Объект1" descr=""/>
                      <pic:cNvPicPr>
                        <a:picLocks noChangeAspect="1" noChangeArrowheads="1"/>
                      </pic:cNvPicPr>
                    </pic:nvPicPr>
                    <pic:blipFill>
                      <a:blip/>
                      <a:stretch>
                        <a:fillRect/>
                      </a:stretch>
                    </pic:blipFill>
                    <pic:spPr bwMode="auto">
                      <a:xfrm>
                        <a:off x="0" y="0"/>
                        <a:ext cx="6120130" cy="4762500"/>
                      </a:xfrm>
                      <a:prstGeom prst="rect">
                        <a:avLst/>
                      </a:prstGeom>
                    </pic:spPr>
                  </pic:pic>
                </a:graphicData>
              </a:graphic>
            </wp:anchor>
          </w:drawing>
        </w:r>
      </w:hyperlink>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3"/>
    <w:next w:val="Style14"/>
    <w:pPr>
      <w:numPr>
        <w:ilvl w:val="0"/>
        <w:numId w:val="1"/>
      </w:numPr>
      <w:spacing w:before="240" w:after="120"/>
      <w:outlineLvl w:val="0"/>
      <w:outlineLvl w:val="0"/>
    </w:pPr>
    <w:rPr>
      <w:b/>
      <w:bCs/>
      <w:sz w:val="36"/>
      <w:szCs w:val="36"/>
    </w:rPr>
  </w:style>
  <w:style w:type="paragraph" w:styleId="2">
    <w:name w:val="Заголовок 2"/>
    <w:basedOn w:val="Style13"/>
    <w:next w:val="Style14"/>
    <w:pPr>
      <w:numPr>
        <w:ilvl w:val="1"/>
        <w:numId w:val="1"/>
      </w:numPr>
      <w:spacing w:before="200" w:after="120"/>
      <w:outlineLvl w:val="1"/>
      <w:outlineLvl w:val="1"/>
    </w:pPr>
    <w:rPr>
      <w:b/>
      <w:bCs/>
      <w:sz w:val="32"/>
      <w:szCs w:val="32"/>
    </w:rPr>
  </w:style>
  <w:style w:type="paragraph" w:styleId="3">
    <w:name w:val="Заголовок 3"/>
    <w:basedOn w:val="Style13"/>
    <w:next w:val="Style14"/>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lang w:val="zxx" w:eastAsia="zxx" w:bidi="zxx"/>
    </w:rPr>
  </w:style>
  <w:style w:type="character" w:styleId="Style12">
    <w:name w:val="Выделение жирным"/>
    <w:rPr>
      <w:b/>
      <w:bCs/>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next w:val="Style14"/>
    <w:pPr>
      <w:jc w:val="center"/>
    </w:pPr>
    <w:rPr>
      <w:b/>
      <w:bCs/>
      <w:sz w:val="56"/>
      <w:szCs w:val="56"/>
    </w:rPr>
  </w:style>
  <w:style w:type="paragraph" w:styleId="Style20">
    <w:name w:val="Подзаголовок"/>
    <w:basedOn w:val="Style13"/>
    <w:next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frf.ru/knopki/zhizn~4061/" TargetMode="External"/><Relationship Id="rId3" Type="http://schemas.openxmlformats.org/officeDocument/2006/relationships/hyperlink" Target="http://www.pfrf.ru/knopki/zhizn~4061/" TargetMode="External"/><Relationship Id="rId4" Type="http://schemas.openxmlformats.org/officeDocument/2006/relationships/hyperlink" Target="http://www.pfrf.ru/knopki/zhizn~4061/" TargetMode="External"/><Relationship Id="rId5" Type="http://schemas.openxmlformats.org/officeDocument/2006/relationships/hyperlink" Target="http://www.pfrf.ru/knopki/zhizn~4061/"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LibreOffice/5.0.1.2$Windows_x86 LibreOffice_project/81898c9f5c0d43f3473ba111d7b351050be20261</Application>
  <Paragraphs>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2018-03-07T15:18:25Z</dcterms:created>
  <dc:language>ru-RU</dc:language>
  <dcterms:modified xsi:type="dcterms:W3CDTF">2018-03-07T15:18:43Z</dcterms:modified>
  <cp:revision>1</cp:revision>
</cp:coreProperties>
</file>