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93E" w:rsidRPr="0010153D" w:rsidRDefault="000B3C21" w:rsidP="007D631D">
      <w:pPr>
        <w:pStyle w:val="a3"/>
        <w:ind w:firstLine="567"/>
        <w:jc w:val="both"/>
        <w:rPr>
          <w:color w:val="000000"/>
          <w:sz w:val="26"/>
          <w:szCs w:val="26"/>
        </w:rPr>
      </w:pPr>
      <w:r w:rsidRPr="0010153D">
        <w:rPr>
          <w:color w:val="000000"/>
          <w:sz w:val="26"/>
          <w:szCs w:val="26"/>
        </w:rPr>
        <w:t>Срок поверки моего счетчика холодной воды истек в 2015 году. В течение двух лет плата за воду мне начислялась по нормативу, с повышающим коэффициентом (получалось больше, чем по счетчику). В июле 2017 года я произвела поверку, прибор был признан исправным. Срок следующей поверки – июль 2021 года. Могу ли я требовать произвести перерасчет за два года, когда я платила по нормативу? Ведь счетчик оказался исправным и отображает показания реально потраченной за это время воды.</w:t>
      </w:r>
    </w:p>
    <w:p w:rsidR="009A3ADC" w:rsidRPr="0010153D" w:rsidRDefault="009A3ADC" w:rsidP="009A3ADC">
      <w:pPr>
        <w:pStyle w:val="a3"/>
        <w:ind w:firstLine="567"/>
        <w:rPr>
          <w:b/>
          <w:bCs/>
          <w:sz w:val="26"/>
          <w:szCs w:val="26"/>
        </w:rPr>
      </w:pPr>
      <w:r w:rsidRPr="0010153D">
        <w:rPr>
          <w:b/>
          <w:bCs/>
          <w:sz w:val="26"/>
          <w:szCs w:val="26"/>
        </w:rPr>
        <w:t>Отвечает начальник отдела информирования и консультирования по вопросам защиты прав потребителей ФБУЗ «Центр гигиены и эпидемиологии в РМ» Тундыкова Юлия Викторовна</w:t>
      </w:r>
      <w:bookmarkStart w:id="0" w:name="dst45"/>
      <w:bookmarkEnd w:id="0"/>
    </w:p>
    <w:p w:rsidR="000B3C21" w:rsidRPr="0010153D" w:rsidRDefault="000B3C21" w:rsidP="00140935">
      <w:pPr>
        <w:autoSpaceDE w:val="0"/>
        <w:autoSpaceDN w:val="0"/>
        <w:adjustRightInd w:val="0"/>
        <w:spacing w:after="0" w:line="240" w:lineRule="auto"/>
        <w:ind w:firstLine="540"/>
        <w:jc w:val="both"/>
        <w:rPr>
          <w:rFonts w:ascii="Times New Roman" w:hAnsi="Times New Roman" w:cs="Times New Roman"/>
          <w:sz w:val="26"/>
          <w:szCs w:val="26"/>
        </w:rPr>
      </w:pPr>
      <w:r w:rsidRPr="0010153D">
        <w:rPr>
          <w:rFonts w:ascii="Times New Roman" w:hAnsi="Times New Roman" w:cs="Times New Roman"/>
          <w:sz w:val="26"/>
          <w:szCs w:val="26"/>
        </w:rPr>
        <w:t>Порядок начисления оплаты за коммунальные услуги определен Правилами предоставления коммунальных услуг собственникам и пользователям помещений в многоквартирных домах и жилых домов (утв. постановлением Правительства РФ от 06.05.2011 № 354) (далее – Правила). В соответствии с п. 59 данных Правил, в случае истечения срока эксплуатации прибора учета, определяемого периодом времени до очередной поверки, плата за коммунальную услугу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прибора учета за период не менее 6 месяцев</w:t>
      </w:r>
      <w:r w:rsidR="00E14AD9" w:rsidRPr="0010153D">
        <w:rPr>
          <w:rFonts w:ascii="Times New Roman" w:hAnsi="Times New Roman" w:cs="Times New Roman"/>
          <w:sz w:val="26"/>
          <w:szCs w:val="26"/>
        </w:rPr>
        <w:t xml:space="preserve"> – но не более трех расчетных периодов подряд.</w:t>
      </w:r>
    </w:p>
    <w:p w:rsidR="00E14AD9" w:rsidRPr="0010153D" w:rsidRDefault="00E14AD9" w:rsidP="00140935">
      <w:pPr>
        <w:autoSpaceDE w:val="0"/>
        <w:autoSpaceDN w:val="0"/>
        <w:adjustRightInd w:val="0"/>
        <w:spacing w:after="0" w:line="240" w:lineRule="auto"/>
        <w:ind w:firstLine="540"/>
        <w:jc w:val="both"/>
        <w:rPr>
          <w:rFonts w:ascii="Times New Roman" w:hAnsi="Times New Roman" w:cs="Times New Roman"/>
          <w:sz w:val="26"/>
          <w:szCs w:val="26"/>
        </w:rPr>
      </w:pPr>
      <w:r w:rsidRPr="0010153D">
        <w:rPr>
          <w:rFonts w:ascii="Times New Roman" w:hAnsi="Times New Roman" w:cs="Times New Roman"/>
          <w:sz w:val="26"/>
          <w:szCs w:val="26"/>
        </w:rPr>
        <w:t>Таким образом, после истечения срока поверки в первые три месяца начисление должно было производиться исходя из среднемесячного потребления воды в вашей квартире за последние полгода.</w:t>
      </w:r>
    </w:p>
    <w:p w:rsidR="0010153D" w:rsidRPr="0010153D" w:rsidRDefault="0010153D" w:rsidP="0010153D">
      <w:pPr>
        <w:autoSpaceDE w:val="0"/>
        <w:autoSpaceDN w:val="0"/>
        <w:adjustRightInd w:val="0"/>
        <w:spacing w:after="0" w:line="240" w:lineRule="auto"/>
        <w:ind w:firstLine="540"/>
        <w:jc w:val="both"/>
        <w:rPr>
          <w:rFonts w:ascii="Times New Roman" w:hAnsi="Times New Roman" w:cs="Times New Roman"/>
          <w:sz w:val="26"/>
          <w:szCs w:val="26"/>
        </w:rPr>
      </w:pPr>
      <w:r w:rsidRPr="0010153D">
        <w:rPr>
          <w:rFonts w:ascii="Times New Roman" w:hAnsi="Times New Roman" w:cs="Times New Roman"/>
          <w:sz w:val="26"/>
          <w:szCs w:val="26"/>
        </w:rPr>
        <w:t xml:space="preserve">В силу подпункта «д» п. 81 (12) Правил в случае истечения </w:t>
      </w:r>
      <w:proofErr w:type="spellStart"/>
      <w:r w:rsidRPr="0010153D">
        <w:rPr>
          <w:rFonts w:ascii="Times New Roman" w:hAnsi="Times New Roman" w:cs="Times New Roman"/>
          <w:sz w:val="26"/>
          <w:szCs w:val="26"/>
        </w:rPr>
        <w:t>межповерочного</w:t>
      </w:r>
      <w:proofErr w:type="spellEnd"/>
      <w:r w:rsidRPr="0010153D">
        <w:rPr>
          <w:rFonts w:ascii="Times New Roman" w:hAnsi="Times New Roman" w:cs="Times New Roman"/>
          <w:sz w:val="26"/>
          <w:szCs w:val="26"/>
        </w:rPr>
        <w:t xml:space="preserve"> интервала поверки прибор учета считается вышедшим из строя. Это означает, что далее начисление осуществляется по нормативу. </w:t>
      </w:r>
    </w:p>
    <w:p w:rsidR="0010153D" w:rsidRPr="0010153D" w:rsidRDefault="0010153D" w:rsidP="0010153D">
      <w:pPr>
        <w:autoSpaceDE w:val="0"/>
        <w:autoSpaceDN w:val="0"/>
        <w:adjustRightInd w:val="0"/>
        <w:spacing w:after="0" w:line="240" w:lineRule="auto"/>
        <w:ind w:firstLine="540"/>
        <w:jc w:val="both"/>
        <w:rPr>
          <w:rFonts w:ascii="Times New Roman" w:hAnsi="Times New Roman" w:cs="Times New Roman"/>
          <w:sz w:val="26"/>
          <w:szCs w:val="26"/>
        </w:rPr>
      </w:pPr>
      <w:r w:rsidRPr="0010153D">
        <w:rPr>
          <w:rFonts w:ascii="Times New Roman" w:hAnsi="Times New Roman" w:cs="Times New Roman"/>
          <w:sz w:val="26"/>
          <w:szCs w:val="26"/>
        </w:rPr>
        <w:t xml:space="preserve">После осуществления поверки прибор снова вводится в эксплуатацию и начисление производится исходя из показаний прибора. </w:t>
      </w:r>
    </w:p>
    <w:p w:rsidR="0010153D" w:rsidRPr="0010153D" w:rsidRDefault="0010153D" w:rsidP="0010153D">
      <w:pPr>
        <w:autoSpaceDE w:val="0"/>
        <w:autoSpaceDN w:val="0"/>
        <w:adjustRightInd w:val="0"/>
        <w:spacing w:after="0" w:line="240" w:lineRule="auto"/>
        <w:ind w:firstLine="540"/>
        <w:jc w:val="both"/>
        <w:rPr>
          <w:rFonts w:ascii="Times New Roman" w:hAnsi="Times New Roman" w:cs="Times New Roman"/>
          <w:sz w:val="26"/>
          <w:szCs w:val="26"/>
        </w:rPr>
      </w:pPr>
      <w:r w:rsidRPr="0010153D">
        <w:rPr>
          <w:rFonts w:ascii="Times New Roman" w:hAnsi="Times New Roman" w:cs="Times New Roman"/>
          <w:sz w:val="26"/>
          <w:szCs w:val="26"/>
        </w:rPr>
        <w:t>Действующее законодательство не предусматривает возможности перерасчета платы исходя из тех показаний прибора учета, когда он официально считался вышедшим из строя.</w:t>
      </w:r>
    </w:p>
    <w:p w:rsidR="0010153D" w:rsidRPr="0010153D" w:rsidRDefault="0010153D" w:rsidP="00140935">
      <w:pPr>
        <w:autoSpaceDE w:val="0"/>
        <w:autoSpaceDN w:val="0"/>
        <w:adjustRightInd w:val="0"/>
        <w:spacing w:after="0" w:line="240" w:lineRule="auto"/>
        <w:ind w:firstLine="540"/>
        <w:jc w:val="both"/>
        <w:rPr>
          <w:rFonts w:ascii="Times New Roman" w:hAnsi="Times New Roman" w:cs="Times New Roman"/>
          <w:sz w:val="26"/>
          <w:szCs w:val="26"/>
        </w:rPr>
      </w:pPr>
    </w:p>
    <w:p w:rsidR="000B3C21" w:rsidRPr="0010153D" w:rsidRDefault="000B3C21" w:rsidP="00140935">
      <w:pPr>
        <w:autoSpaceDE w:val="0"/>
        <w:autoSpaceDN w:val="0"/>
        <w:adjustRightInd w:val="0"/>
        <w:spacing w:after="0" w:line="240" w:lineRule="auto"/>
        <w:ind w:firstLine="540"/>
        <w:jc w:val="both"/>
        <w:rPr>
          <w:rFonts w:ascii="Times New Roman" w:hAnsi="Times New Roman" w:cs="Times New Roman"/>
          <w:sz w:val="26"/>
          <w:szCs w:val="26"/>
        </w:rPr>
      </w:pPr>
    </w:p>
    <w:p w:rsidR="008E5AAA" w:rsidRPr="00140935" w:rsidRDefault="008E5AAA" w:rsidP="00140935">
      <w:pPr>
        <w:autoSpaceDE w:val="0"/>
        <w:autoSpaceDN w:val="0"/>
        <w:adjustRightInd w:val="0"/>
        <w:spacing w:after="0" w:line="240" w:lineRule="auto"/>
        <w:ind w:firstLine="540"/>
        <w:jc w:val="both"/>
        <w:rPr>
          <w:rFonts w:ascii="Times New Roman" w:hAnsi="Times New Roman" w:cs="Times New Roman"/>
          <w:sz w:val="28"/>
          <w:szCs w:val="28"/>
        </w:rPr>
      </w:pPr>
      <w:bookmarkStart w:id="1" w:name="_GoBack"/>
      <w:bookmarkEnd w:id="1"/>
    </w:p>
    <w:sectPr w:rsidR="008E5AAA" w:rsidRPr="00140935" w:rsidSect="00C405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applyBreakingRules/>
    <w:useFELayout/>
    <w:compatSetting w:name="compatibilityMode" w:uri="http://schemas.microsoft.com/office/word" w:val="12"/>
  </w:compat>
  <w:rsids>
    <w:rsidRoot w:val="007B0A5B"/>
    <w:rsid w:val="00010E6D"/>
    <w:rsid w:val="00017828"/>
    <w:rsid w:val="00031E6C"/>
    <w:rsid w:val="000611FA"/>
    <w:rsid w:val="0006338D"/>
    <w:rsid w:val="00080C81"/>
    <w:rsid w:val="00090A28"/>
    <w:rsid w:val="000B3C21"/>
    <w:rsid w:val="000F781C"/>
    <w:rsid w:val="0010153D"/>
    <w:rsid w:val="001247EA"/>
    <w:rsid w:val="00140935"/>
    <w:rsid w:val="0015130E"/>
    <w:rsid w:val="00173241"/>
    <w:rsid w:val="00173F47"/>
    <w:rsid w:val="001773B4"/>
    <w:rsid w:val="00191E05"/>
    <w:rsid w:val="001B0602"/>
    <w:rsid w:val="001B5530"/>
    <w:rsid w:val="001C1EE8"/>
    <w:rsid w:val="001D7057"/>
    <w:rsid w:val="001F4F92"/>
    <w:rsid w:val="00226299"/>
    <w:rsid w:val="00226813"/>
    <w:rsid w:val="0023511D"/>
    <w:rsid w:val="002561A7"/>
    <w:rsid w:val="00262146"/>
    <w:rsid w:val="002C240C"/>
    <w:rsid w:val="002C5790"/>
    <w:rsid w:val="002D3D2A"/>
    <w:rsid w:val="00324E01"/>
    <w:rsid w:val="00334EC9"/>
    <w:rsid w:val="003479AF"/>
    <w:rsid w:val="00377A34"/>
    <w:rsid w:val="0038733A"/>
    <w:rsid w:val="003C3AA6"/>
    <w:rsid w:val="003F760A"/>
    <w:rsid w:val="00420D48"/>
    <w:rsid w:val="004415E0"/>
    <w:rsid w:val="004667A1"/>
    <w:rsid w:val="00492AA3"/>
    <w:rsid w:val="004A7988"/>
    <w:rsid w:val="004E754D"/>
    <w:rsid w:val="0053298E"/>
    <w:rsid w:val="00535AF9"/>
    <w:rsid w:val="00544EBA"/>
    <w:rsid w:val="005668BE"/>
    <w:rsid w:val="005866C7"/>
    <w:rsid w:val="005B5717"/>
    <w:rsid w:val="005E0057"/>
    <w:rsid w:val="005E5770"/>
    <w:rsid w:val="005F3563"/>
    <w:rsid w:val="0060328A"/>
    <w:rsid w:val="00614CBD"/>
    <w:rsid w:val="0062047E"/>
    <w:rsid w:val="006266BF"/>
    <w:rsid w:val="0065588C"/>
    <w:rsid w:val="00664CEA"/>
    <w:rsid w:val="006736A3"/>
    <w:rsid w:val="006758B9"/>
    <w:rsid w:val="006A2A0F"/>
    <w:rsid w:val="006A7A8F"/>
    <w:rsid w:val="006B6ED8"/>
    <w:rsid w:val="006E1018"/>
    <w:rsid w:val="006E51F1"/>
    <w:rsid w:val="006E61CA"/>
    <w:rsid w:val="00706CAA"/>
    <w:rsid w:val="0071222C"/>
    <w:rsid w:val="00753DA8"/>
    <w:rsid w:val="007628BE"/>
    <w:rsid w:val="00764BD8"/>
    <w:rsid w:val="007846CC"/>
    <w:rsid w:val="007A6429"/>
    <w:rsid w:val="007B0A5B"/>
    <w:rsid w:val="007C0BBB"/>
    <w:rsid w:val="007D631D"/>
    <w:rsid w:val="0080257A"/>
    <w:rsid w:val="008139BE"/>
    <w:rsid w:val="00835712"/>
    <w:rsid w:val="008449D1"/>
    <w:rsid w:val="00874DE4"/>
    <w:rsid w:val="008C5245"/>
    <w:rsid w:val="008E5AAA"/>
    <w:rsid w:val="008E6A91"/>
    <w:rsid w:val="008E6EE9"/>
    <w:rsid w:val="008F6095"/>
    <w:rsid w:val="00954377"/>
    <w:rsid w:val="0095628E"/>
    <w:rsid w:val="009828A6"/>
    <w:rsid w:val="009A3ADC"/>
    <w:rsid w:val="009B44A6"/>
    <w:rsid w:val="009C2C8B"/>
    <w:rsid w:val="009D1C40"/>
    <w:rsid w:val="009D63FF"/>
    <w:rsid w:val="009E5ADF"/>
    <w:rsid w:val="00A06297"/>
    <w:rsid w:val="00A5599B"/>
    <w:rsid w:val="00A5799E"/>
    <w:rsid w:val="00A8116D"/>
    <w:rsid w:val="00AA04E6"/>
    <w:rsid w:val="00AB1EB9"/>
    <w:rsid w:val="00AC1124"/>
    <w:rsid w:val="00AC1C64"/>
    <w:rsid w:val="00AC33C5"/>
    <w:rsid w:val="00B11F8E"/>
    <w:rsid w:val="00B12BF1"/>
    <w:rsid w:val="00B3691B"/>
    <w:rsid w:val="00B6313B"/>
    <w:rsid w:val="00B71DE5"/>
    <w:rsid w:val="00BA07EF"/>
    <w:rsid w:val="00BA293E"/>
    <w:rsid w:val="00BB61AD"/>
    <w:rsid w:val="00BF296C"/>
    <w:rsid w:val="00C24A03"/>
    <w:rsid w:val="00C33660"/>
    <w:rsid w:val="00C405F5"/>
    <w:rsid w:val="00CD17DE"/>
    <w:rsid w:val="00CD4E0D"/>
    <w:rsid w:val="00CF40E4"/>
    <w:rsid w:val="00D31905"/>
    <w:rsid w:val="00D61B8E"/>
    <w:rsid w:val="00D64C17"/>
    <w:rsid w:val="00D775CC"/>
    <w:rsid w:val="00DB7CBF"/>
    <w:rsid w:val="00DE5607"/>
    <w:rsid w:val="00DF79B9"/>
    <w:rsid w:val="00E0432F"/>
    <w:rsid w:val="00E14AD9"/>
    <w:rsid w:val="00E274DD"/>
    <w:rsid w:val="00E342BC"/>
    <w:rsid w:val="00E3605D"/>
    <w:rsid w:val="00E578B0"/>
    <w:rsid w:val="00E72807"/>
    <w:rsid w:val="00E72D46"/>
    <w:rsid w:val="00E86622"/>
    <w:rsid w:val="00E8756C"/>
    <w:rsid w:val="00E90D86"/>
    <w:rsid w:val="00E96C79"/>
    <w:rsid w:val="00F01D9F"/>
    <w:rsid w:val="00F26ABA"/>
    <w:rsid w:val="00F300AE"/>
    <w:rsid w:val="00F32834"/>
    <w:rsid w:val="00F36B6F"/>
    <w:rsid w:val="00F67BBA"/>
    <w:rsid w:val="00FA30B9"/>
    <w:rsid w:val="00FB47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4B051"/>
  <w15:docId w15:val="{30C80311-4F33-4FB8-B1FF-A948F0B8D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5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B0A5B"/>
    <w:pPr>
      <w:spacing w:after="288" w:line="240" w:lineRule="auto"/>
    </w:pPr>
    <w:rPr>
      <w:rFonts w:ascii="Times New Roman" w:eastAsia="Times New Roman" w:hAnsi="Times New Roman" w:cs="Times New Roman"/>
      <w:sz w:val="24"/>
      <w:szCs w:val="24"/>
    </w:rPr>
  </w:style>
  <w:style w:type="character" w:styleId="a4">
    <w:name w:val="Strong"/>
    <w:basedOn w:val="a0"/>
    <w:uiPriority w:val="22"/>
    <w:qFormat/>
    <w:rsid w:val="009A3ADC"/>
    <w:rPr>
      <w:b/>
      <w:bCs/>
    </w:rPr>
  </w:style>
  <w:style w:type="character" w:styleId="a5">
    <w:name w:val="Hyperlink"/>
    <w:basedOn w:val="a0"/>
    <w:uiPriority w:val="99"/>
    <w:unhideWhenUsed/>
    <w:rsid w:val="00FA30B9"/>
    <w:rPr>
      <w:color w:val="0000FF" w:themeColor="hyperlink"/>
      <w:u w:val="single"/>
    </w:rPr>
  </w:style>
  <w:style w:type="paragraph" w:styleId="a6">
    <w:name w:val="Balloon Text"/>
    <w:basedOn w:val="a"/>
    <w:link w:val="a7"/>
    <w:uiPriority w:val="99"/>
    <w:semiHidden/>
    <w:unhideWhenUsed/>
    <w:rsid w:val="006266B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266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463260">
      <w:bodyDiv w:val="1"/>
      <w:marLeft w:val="0"/>
      <w:marRight w:val="0"/>
      <w:marTop w:val="0"/>
      <w:marBottom w:val="0"/>
      <w:divBdr>
        <w:top w:val="none" w:sz="0" w:space="0" w:color="auto"/>
        <w:left w:val="none" w:sz="0" w:space="0" w:color="auto"/>
        <w:bottom w:val="none" w:sz="0" w:space="0" w:color="auto"/>
        <w:right w:val="none" w:sz="0" w:space="0" w:color="auto"/>
      </w:divBdr>
      <w:divsChild>
        <w:div w:id="1374190135">
          <w:marLeft w:val="0"/>
          <w:marRight w:val="0"/>
          <w:marTop w:val="0"/>
          <w:marBottom w:val="0"/>
          <w:divBdr>
            <w:top w:val="none" w:sz="0" w:space="0" w:color="auto"/>
            <w:left w:val="none" w:sz="0" w:space="0" w:color="auto"/>
            <w:bottom w:val="none" w:sz="0" w:space="0" w:color="auto"/>
            <w:right w:val="none" w:sz="0" w:space="0" w:color="auto"/>
          </w:divBdr>
          <w:divsChild>
            <w:div w:id="2096052921">
              <w:marLeft w:val="0"/>
              <w:marRight w:val="0"/>
              <w:marTop w:val="0"/>
              <w:marBottom w:val="0"/>
              <w:divBdr>
                <w:top w:val="none" w:sz="0" w:space="0" w:color="auto"/>
                <w:left w:val="none" w:sz="0" w:space="0" w:color="auto"/>
                <w:bottom w:val="none" w:sz="0" w:space="0" w:color="auto"/>
                <w:right w:val="none" w:sz="0" w:space="0" w:color="auto"/>
              </w:divBdr>
              <w:divsChild>
                <w:div w:id="1531915434">
                  <w:marLeft w:val="301"/>
                  <w:marRight w:val="301"/>
                  <w:marTop w:val="0"/>
                  <w:marBottom w:val="0"/>
                  <w:divBdr>
                    <w:top w:val="none" w:sz="0" w:space="0" w:color="auto"/>
                    <w:left w:val="none" w:sz="0" w:space="0" w:color="auto"/>
                    <w:bottom w:val="none" w:sz="0" w:space="0" w:color="auto"/>
                    <w:right w:val="none" w:sz="0" w:space="0" w:color="auto"/>
                  </w:divBdr>
                  <w:divsChild>
                    <w:div w:id="1677150249">
                      <w:marLeft w:val="0"/>
                      <w:marRight w:val="0"/>
                      <w:marTop w:val="0"/>
                      <w:marBottom w:val="335"/>
                      <w:divBdr>
                        <w:top w:val="none" w:sz="0" w:space="0" w:color="auto"/>
                        <w:left w:val="none" w:sz="0" w:space="0" w:color="auto"/>
                        <w:bottom w:val="single" w:sz="12" w:space="8" w:color="CDE7DB"/>
                        <w:right w:val="none" w:sz="0" w:space="0" w:color="auto"/>
                      </w:divBdr>
                      <w:divsChild>
                        <w:div w:id="1931960229">
                          <w:marLeft w:val="0"/>
                          <w:marRight w:val="335"/>
                          <w:marTop w:val="0"/>
                          <w:marBottom w:val="0"/>
                          <w:divBdr>
                            <w:top w:val="none" w:sz="0" w:space="0" w:color="auto"/>
                            <w:left w:val="none" w:sz="0" w:space="0" w:color="auto"/>
                            <w:bottom w:val="none" w:sz="0" w:space="0" w:color="auto"/>
                            <w:right w:val="none" w:sz="0" w:space="0" w:color="auto"/>
                          </w:divBdr>
                          <w:divsChild>
                            <w:div w:id="1883402941">
                              <w:marLeft w:val="0"/>
                              <w:marRight w:val="0"/>
                              <w:marTop w:val="335"/>
                              <w:marBottom w:val="33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623554">
      <w:bodyDiv w:val="1"/>
      <w:marLeft w:val="5"/>
      <w:marRight w:val="5"/>
      <w:marTop w:val="0"/>
      <w:marBottom w:val="0"/>
      <w:divBdr>
        <w:top w:val="none" w:sz="0" w:space="0" w:color="auto"/>
        <w:left w:val="none" w:sz="0" w:space="0" w:color="auto"/>
        <w:bottom w:val="none" w:sz="0" w:space="0" w:color="auto"/>
        <w:right w:val="none" w:sz="0" w:space="0" w:color="auto"/>
      </w:divBdr>
      <w:divsChild>
        <w:div w:id="1593590358">
          <w:marLeft w:val="0"/>
          <w:marRight w:val="0"/>
          <w:marTop w:val="0"/>
          <w:marBottom w:val="0"/>
          <w:divBdr>
            <w:top w:val="none" w:sz="0" w:space="0" w:color="auto"/>
            <w:left w:val="none" w:sz="0" w:space="0" w:color="auto"/>
            <w:bottom w:val="none" w:sz="0" w:space="0" w:color="auto"/>
            <w:right w:val="none" w:sz="0" w:space="0" w:color="auto"/>
          </w:divBdr>
          <w:divsChild>
            <w:div w:id="1241524599">
              <w:marLeft w:val="0"/>
              <w:marRight w:val="0"/>
              <w:marTop w:val="0"/>
              <w:marBottom w:val="0"/>
              <w:divBdr>
                <w:top w:val="none" w:sz="0" w:space="0" w:color="auto"/>
                <w:left w:val="none" w:sz="0" w:space="0" w:color="auto"/>
                <w:bottom w:val="none" w:sz="0" w:space="0" w:color="auto"/>
                <w:right w:val="none" w:sz="0" w:space="0" w:color="auto"/>
              </w:divBdr>
              <w:divsChild>
                <w:div w:id="719942362">
                  <w:marLeft w:val="0"/>
                  <w:marRight w:val="0"/>
                  <w:marTop w:val="0"/>
                  <w:marBottom w:val="0"/>
                  <w:divBdr>
                    <w:top w:val="none" w:sz="0" w:space="0" w:color="auto"/>
                    <w:left w:val="none" w:sz="0" w:space="0" w:color="auto"/>
                    <w:bottom w:val="none" w:sz="0" w:space="0" w:color="auto"/>
                    <w:right w:val="none" w:sz="0" w:space="0" w:color="auto"/>
                  </w:divBdr>
                  <w:divsChild>
                    <w:div w:id="1411343275">
                      <w:marLeft w:val="0"/>
                      <w:marRight w:val="0"/>
                      <w:marTop w:val="1005"/>
                      <w:marBottom w:val="0"/>
                      <w:divBdr>
                        <w:top w:val="none" w:sz="0" w:space="0" w:color="auto"/>
                        <w:left w:val="none" w:sz="0" w:space="0" w:color="auto"/>
                        <w:bottom w:val="none" w:sz="0" w:space="0" w:color="auto"/>
                        <w:right w:val="none" w:sz="0" w:space="0" w:color="auto"/>
                      </w:divBdr>
                      <w:divsChild>
                        <w:div w:id="922563653">
                          <w:marLeft w:val="0"/>
                          <w:marRight w:val="0"/>
                          <w:marTop w:val="0"/>
                          <w:marBottom w:val="0"/>
                          <w:divBdr>
                            <w:top w:val="none" w:sz="0" w:space="0" w:color="auto"/>
                            <w:left w:val="none" w:sz="0" w:space="0" w:color="auto"/>
                            <w:bottom w:val="none" w:sz="0" w:space="0" w:color="auto"/>
                            <w:right w:val="none" w:sz="0" w:space="0" w:color="auto"/>
                          </w:divBdr>
                          <w:divsChild>
                            <w:div w:id="1836414328">
                              <w:marLeft w:val="0"/>
                              <w:marRight w:val="0"/>
                              <w:marTop w:val="0"/>
                              <w:marBottom w:val="0"/>
                              <w:divBdr>
                                <w:top w:val="none" w:sz="0" w:space="0" w:color="auto"/>
                                <w:left w:val="none" w:sz="0" w:space="0" w:color="auto"/>
                                <w:bottom w:val="none" w:sz="0" w:space="0" w:color="auto"/>
                                <w:right w:val="none" w:sz="0" w:space="0" w:color="auto"/>
                              </w:divBdr>
                              <w:divsChild>
                                <w:div w:id="566845066">
                                  <w:marLeft w:val="0"/>
                                  <w:marRight w:val="0"/>
                                  <w:marTop w:val="0"/>
                                  <w:marBottom w:val="0"/>
                                  <w:divBdr>
                                    <w:top w:val="none" w:sz="0" w:space="0" w:color="auto"/>
                                    <w:left w:val="none" w:sz="0" w:space="0" w:color="auto"/>
                                    <w:bottom w:val="none" w:sz="0" w:space="0" w:color="auto"/>
                                    <w:right w:val="none" w:sz="0" w:space="0" w:color="auto"/>
                                  </w:divBdr>
                                  <w:divsChild>
                                    <w:div w:id="1640452249">
                                      <w:marLeft w:val="0"/>
                                      <w:marRight w:val="0"/>
                                      <w:marTop w:val="0"/>
                                      <w:marBottom w:val="0"/>
                                      <w:divBdr>
                                        <w:top w:val="none" w:sz="0" w:space="0" w:color="auto"/>
                                        <w:left w:val="none" w:sz="0" w:space="0" w:color="auto"/>
                                        <w:bottom w:val="none" w:sz="0" w:space="0" w:color="auto"/>
                                        <w:right w:val="none" w:sz="0" w:space="0" w:color="auto"/>
                                      </w:divBdr>
                                      <w:divsChild>
                                        <w:div w:id="581337039">
                                          <w:marLeft w:val="0"/>
                                          <w:marRight w:val="0"/>
                                          <w:marTop w:val="167"/>
                                          <w:marBottom w:val="0"/>
                                          <w:divBdr>
                                            <w:top w:val="none" w:sz="0" w:space="0" w:color="auto"/>
                                            <w:left w:val="none" w:sz="0" w:space="0" w:color="auto"/>
                                            <w:bottom w:val="none" w:sz="0" w:space="0" w:color="auto"/>
                                            <w:right w:val="none" w:sz="0" w:space="0" w:color="auto"/>
                                          </w:divBdr>
                                          <w:divsChild>
                                            <w:div w:id="1390153239">
                                              <w:marLeft w:val="0"/>
                                              <w:marRight w:val="0"/>
                                              <w:marTop w:val="0"/>
                                              <w:marBottom w:val="0"/>
                                              <w:divBdr>
                                                <w:top w:val="none" w:sz="0" w:space="0" w:color="auto"/>
                                                <w:left w:val="none" w:sz="0" w:space="0" w:color="auto"/>
                                                <w:bottom w:val="none" w:sz="0" w:space="0" w:color="auto"/>
                                                <w:right w:val="none" w:sz="0" w:space="0" w:color="auto"/>
                                              </w:divBdr>
                                              <w:divsChild>
                                                <w:div w:id="432744373">
                                                  <w:marLeft w:val="0"/>
                                                  <w:marRight w:val="0"/>
                                                  <w:marTop w:val="167"/>
                                                  <w:marBottom w:val="0"/>
                                                  <w:divBdr>
                                                    <w:top w:val="none" w:sz="0" w:space="0" w:color="auto"/>
                                                    <w:left w:val="none" w:sz="0" w:space="0" w:color="auto"/>
                                                    <w:bottom w:val="none" w:sz="0" w:space="0" w:color="auto"/>
                                                    <w:right w:val="none" w:sz="0" w:space="0" w:color="auto"/>
                                                  </w:divBdr>
                                                  <w:divsChild>
                                                    <w:div w:id="2083407430">
                                                      <w:marLeft w:val="0"/>
                                                      <w:marRight w:val="0"/>
                                                      <w:marTop w:val="0"/>
                                                      <w:marBottom w:val="0"/>
                                                      <w:divBdr>
                                                        <w:top w:val="none" w:sz="0" w:space="0" w:color="auto"/>
                                                        <w:left w:val="none" w:sz="0" w:space="0" w:color="auto"/>
                                                        <w:bottom w:val="none" w:sz="0" w:space="0" w:color="auto"/>
                                                        <w:right w:val="none" w:sz="0" w:space="0" w:color="auto"/>
                                                      </w:divBdr>
                                                      <w:divsChild>
                                                        <w:div w:id="127213313">
                                                          <w:marLeft w:val="0"/>
                                                          <w:marRight w:val="0"/>
                                                          <w:marTop w:val="0"/>
                                                          <w:marBottom w:val="0"/>
                                                          <w:divBdr>
                                                            <w:top w:val="none" w:sz="0" w:space="0" w:color="auto"/>
                                                            <w:left w:val="none" w:sz="0" w:space="0" w:color="auto"/>
                                                            <w:bottom w:val="none" w:sz="0" w:space="0" w:color="auto"/>
                                                            <w:right w:val="none" w:sz="0" w:space="0" w:color="auto"/>
                                                          </w:divBdr>
                                                          <w:divsChild>
                                                            <w:div w:id="7538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454221">
      <w:bodyDiv w:val="1"/>
      <w:marLeft w:val="5"/>
      <w:marRight w:val="5"/>
      <w:marTop w:val="0"/>
      <w:marBottom w:val="0"/>
      <w:divBdr>
        <w:top w:val="none" w:sz="0" w:space="0" w:color="auto"/>
        <w:left w:val="none" w:sz="0" w:space="0" w:color="auto"/>
        <w:bottom w:val="none" w:sz="0" w:space="0" w:color="auto"/>
        <w:right w:val="none" w:sz="0" w:space="0" w:color="auto"/>
      </w:divBdr>
      <w:divsChild>
        <w:div w:id="1806775750">
          <w:marLeft w:val="0"/>
          <w:marRight w:val="0"/>
          <w:marTop w:val="0"/>
          <w:marBottom w:val="0"/>
          <w:divBdr>
            <w:top w:val="none" w:sz="0" w:space="0" w:color="auto"/>
            <w:left w:val="none" w:sz="0" w:space="0" w:color="auto"/>
            <w:bottom w:val="none" w:sz="0" w:space="0" w:color="auto"/>
            <w:right w:val="none" w:sz="0" w:space="0" w:color="auto"/>
          </w:divBdr>
          <w:divsChild>
            <w:div w:id="252864328">
              <w:marLeft w:val="0"/>
              <w:marRight w:val="0"/>
              <w:marTop w:val="0"/>
              <w:marBottom w:val="0"/>
              <w:divBdr>
                <w:top w:val="none" w:sz="0" w:space="0" w:color="auto"/>
                <w:left w:val="none" w:sz="0" w:space="0" w:color="auto"/>
                <w:bottom w:val="none" w:sz="0" w:space="0" w:color="auto"/>
                <w:right w:val="none" w:sz="0" w:space="0" w:color="auto"/>
              </w:divBdr>
              <w:divsChild>
                <w:div w:id="1776948816">
                  <w:marLeft w:val="0"/>
                  <w:marRight w:val="0"/>
                  <w:marTop w:val="0"/>
                  <w:marBottom w:val="0"/>
                  <w:divBdr>
                    <w:top w:val="none" w:sz="0" w:space="0" w:color="auto"/>
                    <w:left w:val="none" w:sz="0" w:space="0" w:color="auto"/>
                    <w:bottom w:val="none" w:sz="0" w:space="0" w:color="auto"/>
                    <w:right w:val="none" w:sz="0" w:space="0" w:color="auto"/>
                  </w:divBdr>
                  <w:divsChild>
                    <w:div w:id="1610819936">
                      <w:marLeft w:val="0"/>
                      <w:marRight w:val="0"/>
                      <w:marTop w:val="1005"/>
                      <w:marBottom w:val="0"/>
                      <w:divBdr>
                        <w:top w:val="none" w:sz="0" w:space="0" w:color="auto"/>
                        <w:left w:val="none" w:sz="0" w:space="0" w:color="auto"/>
                        <w:bottom w:val="none" w:sz="0" w:space="0" w:color="auto"/>
                        <w:right w:val="none" w:sz="0" w:space="0" w:color="auto"/>
                      </w:divBdr>
                      <w:divsChild>
                        <w:div w:id="1589072631">
                          <w:marLeft w:val="0"/>
                          <w:marRight w:val="0"/>
                          <w:marTop w:val="0"/>
                          <w:marBottom w:val="0"/>
                          <w:divBdr>
                            <w:top w:val="none" w:sz="0" w:space="0" w:color="auto"/>
                            <w:left w:val="none" w:sz="0" w:space="0" w:color="auto"/>
                            <w:bottom w:val="none" w:sz="0" w:space="0" w:color="auto"/>
                            <w:right w:val="none" w:sz="0" w:space="0" w:color="auto"/>
                          </w:divBdr>
                          <w:divsChild>
                            <w:div w:id="1171338646">
                              <w:marLeft w:val="0"/>
                              <w:marRight w:val="0"/>
                              <w:marTop w:val="0"/>
                              <w:marBottom w:val="0"/>
                              <w:divBdr>
                                <w:top w:val="none" w:sz="0" w:space="0" w:color="auto"/>
                                <w:left w:val="none" w:sz="0" w:space="0" w:color="auto"/>
                                <w:bottom w:val="none" w:sz="0" w:space="0" w:color="auto"/>
                                <w:right w:val="none" w:sz="0" w:space="0" w:color="auto"/>
                              </w:divBdr>
                              <w:divsChild>
                                <w:div w:id="752778627">
                                  <w:marLeft w:val="0"/>
                                  <w:marRight w:val="0"/>
                                  <w:marTop w:val="0"/>
                                  <w:marBottom w:val="0"/>
                                  <w:divBdr>
                                    <w:top w:val="none" w:sz="0" w:space="0" w:color="auto"/>
                                    <w:left w:val="none" w:sz="0" w:space="0" w:color="auto"/>
                                    <w:bottom w:val="none" w:sz="0" w:space="0" w:color="auto"/>
                                    <w:right w:val="none" w:sz="0" w:space="0" w:color="auto"/>
                                  </w:divBdr>
                                  <w:divsChild>
                                    <w:div w:id="1815835500">
                                      <w:marLeft w:val="0"/>
                                      <w:marRight w:val="0"/>
                                      <w:marTop w:val="0"/>
                                      <w:marBottom w:val="0"/>
                                      <w:divBdr>
                                        <w:top w:val="none" w:sz="0" w:space="0" w:color="auto"/>
                                        <w:left w:val="none" w:sz="0" w:space="0" w:color="auto"/>
                                        <w:bottom w:val="none" w:sz="0" w:space="0" w:color="auto"/>
                                        <w:right w:val="none" w:sz="0" w:space="0" w:color="auto"/>
                                      </w:divBdr>
                                      <w:divsChild>
                                        <w:div w:id="935400525">
                                          <w:marLeft w:val="0"/>
                                          <w:marRight w:val="0"/>
                                          <w:marTop w:val="167"/>
                                          <w:marBottom w:val="0"/>
                                          <w:divBdr>
                                            <w:top w:val="none" w:sz="0" w:space="0" w:color="auto"/>
                                            <w:left w:val="none" w:sz="0" w:space="0" w:color="auto"/>
                                            <w:bottom w:val="none" w:sz="0" w:space="0" w:color="auto"/>
                                            <w:right w:val="none" w:sz="0" w:space="0" w:color="auto"/>
                                          </w:divBdr>
                                          <w:divsChild>
                                            <w:div w:id="1981959245">
                                              <w:marLeft w:val="0"/>
                                              <w:marRight w:val="0"/>
                                              <w:marTop w:val="0"/>
                                              <w:marBottom w:val="0"/>
                                              <w:divBdr>
                                                <w:top w:val="none" w:sz="0" w:space="0" w:color="auto"/>
                                                <w:left w:val="none" w:sz="0" w:space="0" w:color="auto"/>
                                                <w:bottom w:val="none" w:sz="0" w:space="0" w:color="auto"/>
                                                <w:right w:val="none" w:sz="0" w:space="0" w:color="auto"/>
                                              </w:divBdr>
                                              <w:divsChild>
                                                <w:div w:id="1027409356">
                                                  <w:marLeft w:val="0"/>
                                                  <w:marRight w:val="0"/>
                                                  <w:marTop w:val="167"/>
                                                  <w:marBottom w:val="0"/>
                                                  <w:divBdr>
                                                    <w:top w:val="none" w:sz="0" w:space="0" w:color="auto"/>
                                                    <w:left w:val="none" w:sz="0" w:space="0" w:color="auto"/>
                                                    <w:bottom w:val="none" w:sz="0" w:space="0" w:color="auto"/>
                                                    <w:right w:val="none" w:sz="0" w:space="0" w:color="auto"/>
                                                  </w:divBdr>
                                                  <w:divsChild>
                                                    <w:div w:id="53435020">
                                                      <w:marLeft w:val="0"/>
                                                      <w:marRight w:val="0"/>
                                                      <w:marTop w:val="0"/>
                                                      <w:marBottom w:val="0"/>
                                                      <w:divBdr>
                                                        <w:top w:val="none" w:sz="0" w:space="0" w:color="auto"/>
                                                        <w:left w:val="none" w:sz="0" w:space="0" w:color="auto"/>
                                                        <w:bottom w:val="none" w:sz="0" w:space="0" w:color="auto"/>
                                                        <w:right w:val="none" w:sz="0" w:space="0" w:color="auto"/>
                                                      </w:divBdr>
                                                      <w:divsChild>
                                                        <w:div w:id="460612939">
                                                          <w:marLeft w:val="0"/>
                                                          <w:marRight w:val="0"/>
                                                          <w:marTop w:val="0"/>
                                                          <w:marBottom w:val="0"/>
                                                          <w:divBdr>
                                                            <w:top w:val="none" w:sz="0" w:space="0" w:color="auto"/>
                                                            <w:left w:val="none" w:sz="0" w:space="0" w:color="auto"/>
                                                            <w:bottom w:val="none" w:sz="0" w:space="0" w:color="auto"/>
                                                            <w:right w:val="none" w:sz="0" w:space="0" w:color="auto"/>
                                                          </w:divBdr>
                                                          <w:divsChild>
                                                            <w:div w:id="208059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1</Pages>
  <Words>296</Words>
  <Characters>1690</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Юля Терентьева</cp:lastModifiedBy>
  <cp:revision>26</cp:revision>
  <cp:lastPrinted>2017-08-26T13:14:00Z</cp:lastPrinted>
  <dcterms:created xsi:type="dcterms:W3CDTF">2016-05-28T20:35:00Z</dcterms:created>
  <dcterms:modified xsi:type="dcterms:W3CDTF">2017-12-13T13:07:00Z</dcterms:modified>
</cp:coreProperties>
</file>